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spacing w:after="0" w:line="1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520" w:right="20" w:hanging="512"/>
        <w:spacing w:after="0" w:line="262" w:lineRule="auto"/>
        <w:tabs>
          <w:tab w:leader="none" w:pos="371"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FFFF"/>
                <w:w w:val="87"/>
              </w:rPr>
              <w:t>.</w:t>
            </w:r>
          </w:p>
        </w:tc>
      </w:tr>
      <w:tr>
        <w:trPr>
          <w:trHeight w:val="304"/>
        </w:trPr>
        <w:tc>
          <w:tcPr>
            <w:tcW w:w="404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Commission File Number: 1-7677</w:t>
            </w: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LSB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4" w:lineRule="exact"/>
        <w:rPr>
          <w:sz w:val="24"/>
          <w:szCs w:val="24"/>
          <w:color w:val="auto"/>
        </w:rPr>
      </w:pPr>
    </w:p>
    <w:tbl>
      <w:tblPr>
        <w:tblLayout w:type="fixed"/>
        <w:tblInd w:w="500" w:type="dxa"/>
        <w:tblCellMar>
          <w:top w:w="0" w:type="dxa"/>
          <w:left w:w="0" w:type="dxa"/>
          <w:bottom w:w="0" w:type="dxa"/>
          <w:right w:w="0" w:type="dxa"/>
        </w:tblCellMar>
      </w:tblPr>
      <w:tr>
        <w:trPr>
          <w:trHeight w:val="214"/>
        </w:trPr>
        <w:tc>
          <w:tcPr>
            <w:tcW w:w="7080" w:type="dxa"/>
            <w:vAlign w:val="bottom"/>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73-1015226</w:t>
            </w:r>
          </w:p>
        </w:tc>
      </w:tr>
      <w:tr>
        <w:trPr>
          <w:trHeight w:val="148"/>
        </w:trPr>
        <w:tc>
          <w:tcPr>
            <w:tcW w:w="7080" w:type="dxa"/>
            <w:vAlign w:val="bottom"/>
          </w:tcPr>
          <w:p>
            <w:pPr>
              <w:jc w:val="center"/>
              <w:ind w:right="24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080" w:type="dxa"/>
            <w:vAlign w:val="bottom"/>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5"/>
        </w:trPr>
        <w:tc>
          <w:tcPr>
            <w:tcW w:w="7080" w:type="dxa"/>
            <w:vAlign w:val="bottom"/>
          </w:tcPr>
          <w:p>
            <w:pPr>
              <w:jc w:val="center"/>
              <w:ind w:right="2480"/>
              <w:spacing w:after="0" w:line="255" w:lineRule="exact"/>
              <w:rPr>
                <w:sz w:val="20"/>
                <w:szCs w:val="20"/>
                <w:color w:val="auto"/>
              </w:rPr>
            </w:pPr>
            <w:r>
              <w:rPr>
                <w:rFonts w:ascii="Times New Roman" w:cs="Times New Roman" w:eastAsia="Times New Roman" w:hAnsi="Times New Roman"/>
                <w:sz w:val="18"/>
                <w:szCs w:val="18"/>
                <w:b w:val="1"/>
                <w:bCs w:val="1"/>
                <w:color w:val="auto"/>
                <w:w w:val="98"/>
              </w:rPr>
              <w:t>3503 NW 63</w:t>
            </w:r>
            <w:r>
              <w:rPr>
                <w:rFonts w:ascii="Times New Roman" w:cs="Times New Roman" w:eastAsia="Times New Roman" w:hAnsi="Times New Roman"/>
                <w:sz w:val="24"/>
                <w:szCs w:val="24"/>
                <w:b w:val="1"/>
                <w:bCs w:val="1"/>
                <w:color w:val="auto"/>
                <w:w w:val="98"/>
                <w:vertAlign w:val="superscript"/>
              </w:rPr>
              <w:t>rd</w:t>
            </w:r>
            <w:r>
              <w:rPr>
                <w:rFonts w:ascii="Times New Roman" w:cs="Times New Roman" w:eastAsia="Times New Roman" w:hAnsi="Times New Roman"/>
                <w:sz w:val="18"/>
                <w:szCs w:val="18"/>
                <w:b w:val="1"/>
                <w:bCs w:val="1"/>
                <w:color w:val="auto"/>
                <w:w w:val="98"/>
              </w:rPr>
              <w:t xml:space="preserve"> Street, Suite 500, Oklahoma City, Oklahoma</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73116</w:t>
            </w:r>
          </w:p>
        </w:tc>
      </w:tr>
      <w:tr>
        <w:trPr>
          <w:trHeight w:val="190"/>
        </w:trPr>
        <w:tc>
          <w:tcPr>
            <w:tcW w:w="7080" w:type="dxa"/>
            <w:vAlign w:val="bottom"/>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7080" w:type="dxa"/>
            <w:vAlign w:val="bottom"/>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(405) 235-4546</w:t>
            </w:r>
          </w:p>
        </w:tc>
        <w:tc>
          <w:tcPr>
            <w:tcW w:w="1480" w:type="dxa"/>
            <w:vAlign w:val="bottom"/>
          </w:tcPr>
          <w:p>
            <w:pPr>
              <w:spacing w:after="0"/>
              <w:rPr>
                <w:sz w:val="24"/>
                <w:szCs w:val="24"/>
                <w:color w:val="auto"/>
              </w:rPr>
            </w:pPr>
          </w:p>
        </w:tc>
      </w:tr>
      <w:tr>
        <w:trPr>
          <w:trHeight w:val="206"/>
        </w:trPr>
        <w:tc>
          <w:tcPr>
            <w:tcW w:w="7080" w:type="dxa"/>
            <w:vAlign w:val="bottom"/>
          </w:tcPr>
          <w:p>
            <w:pPr>
              <w:jc w:val="center"/>
              <w:ind w:left="30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7"/>
                <w:szCs w:val="17"/>
                <w:color w:val="auto"/>
              </w:rPr>
            </w:pP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4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Par Value $.10</w:t>
            </w:r>
          </w:p>
        </w:tc>
        <w:tc>
          <w:tcPr>
            <w:tcW w:w="12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LXU</w:t>
            </w:r>
          </w:p>
        </w:tc>
        <w:tc>
          <w:tcPr>
            <w:tcW w:w="120" w:type="dxa"/>
            <w:vAlign w:val="bottom"/>
          </w:tcPr>
          <w:p>
            <w:pPr>
              <w:spacing w:after="0"/>
              <w:rPr>
                <w:sz w:val="16"/>
                <w:szCs w:val="16"/>
                <w:color w:val="auto"/>
              </w:rPr>
            </w:pPr>
          </w:p>
        </w:tc>
        <w:tc>
          <w:tcPr>
            <w:tcW w:w="5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New York Stock Exchange</w:t>
            </w:r>
          </w:p>
        </w:tc>
        <w:tc>
          <w:tcPr>
            <w:tcW w:w="0" w:type="dxa"/>
            <w:vAlign w:val="bottom"/>
          </w:tcPr>
          <w:p>
            <w:pPr>
              <w:spacing w:after="0"/>
              <w:rPr>
                <w:sz w:val="1"/>
                <w:szCs w:val="1"/>
                <w:color w:val="auto"/>
              </w:rPr>
            </w:pPr>
          </w:p>
        </w:tc>
      </w:tr>
      <w:tr>
        <w:trPr>
          <w:trHeight w:val="6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1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c>
          <w:tcPr>
            <w:tcW w:w="0" w:type="dxa"/>
            <w:vAlign w:val="bottom"/>
          </w:tcPr>
          <w:p>
            <w:pPr>
              <w:spacing w:after="0"/>
              <w:rPr>
                <w:sz w:val="1"/>
                <w:szCs w:val="1"/>
                <w:color w:val="auto"/>
              </w:rPr>
            </w:pPr>
          </w:p>
        </w:tc>
      </w:tr>
      <w:tr>
        <w:trPr>
          <w:trHeight w:val="190"/>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w:t>
            </w: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880"/>
        <w:spacing w:after="0" w:line="250"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The number of shares outstanding of the registrant's common stock was 72,002,670 shares as of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FORM 10-Q OF 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34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color w:val="auto"/>
                <w:w w:val="99"/>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Page</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53"/>
        </w:trPr>
        <w:tc>
          <w:tcPr>
            <w:tcW w:w="9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734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color w:val="auto"/>
                <w:w w:val="99"/>
              </w:rPr>
              <w:t>PART II – Other Information</w:t>
            </w:r>
          </w:p>
        </w:tc>
        <w:tc>
          <w:tcPr>
            <w:tcW w:w="660" w:type="dxa"/>
            <w:vAlign w:val="bottom"/>
          </w:tcPr>
          <w:p>
            <w:pPr>
              <w:spacing w:after="0"/>
              <w:rPr>
                <w:sz w:val="24"/>
                <w:szCs w:val="24"/>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32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24"/>
                <w:szCs w:val="24"/>
                <w:color w:val="auto"/>
              </w:rPr>
            </w:pPr>
          </w:p>
        </w:tc>
        <w:tc>
          <w:tcPr>
            <w:tcW w:w="872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4"/>
                <w:szCs w:val="24"/>
                <w:color w:val="auto"/>
              </w:rPr>
            </w:pPr>
          </w:p>
        </w:tc>
        <w:tc>
          <w:tcPr>
            <w:tcW w:w="73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34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885"/>
        </w:trPr>
        <w:tc>
          <w:tcPr>
            <w:tcW w:w="9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40" w:type="dxa"/>
            <w:vAlign w:val="bottom"/>
            <w:gridSpan w:val="10"/>
          </w:tcPr>
          <w:p>
            <w:pPr>
              <w:jc w:val="right"/>
              <w:ind w:right="1700"/>
              <w:spacing w:after="0"/>
              <w:rPr>
                <w:sz w:val="20"/>
                <w:szCs w:val="20"/>
                <w:color w:val="auto"/>
              </w:rPr>
            </w:pPr>
            <w:r>
              <w:rPr>
                <w:rFonts w:ascii="Times New Roman" w:cs="Times New Roman" w:eastAsia="Times New Roman" w:hAnsi="Times New Roman"/>
                <w:sz w:val="18"/>
                <w:szCs w:val="18"/>
                <w:color w:val="auto"/>
              </w:rPr>
              <w:t>2</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(Information at September 30, 2026 is unaudited)</w:t>
      </w:r>
    </w:p>
    <w:p>
      <w:pPr>
        <w:spacing w:after="0" w:line="5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1740" w:type="dxa"/>
            <w:vAlign w:val="bottom"/>
            <w:gridSpan w:val="3"/>
          </w:tcPr>
          <w:p>
            <w:pPr>
              <w:jc w:val="right"/>
              <w:ind w:right="1119"/>
              <w:spacing w:after="0" w:line="142"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37,696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19,511</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165,775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128,960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57,847</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57,609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00" w:type="dxa"/>
            <w:vAlign w:val="bottom"/>
          </w:tcPr>
          <w:p>
            <w:pPr>
              <w:spacing w:after="0"/>
              <w:rPr>
                <w:sz w:val="17"/>
                <w:szCs w:val="17"/>
                <w:color w:val="auto"/>
              </w:rPr>
            </w:pPr>
          </w:p>
        </w:tc>
        <w:tc>
          <w:tcPr>
            <w:tcW w:w="164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(401)</w:t>
            </w:r>
          </w:p>
        </w:tc>
      </w:tr>
      <w:tr>
        <w:trPr>
          <w:trHeight w:val="196"/>
        </w:trPr>
        <w:tc>
          <w:tcPr>
            <w:tcW w:w="20" w:type="dxa"/>
            <w:vAlign w:val="bottom"/>
          </w:tcPr>
          <w:p>
            <w:pPr>
              <w:spacing w:after="0"/>
              <w:rPr>
                <w:sz w:val="17"/>
                <w:szCs w:val="17"/>
                <w:color w:val="auto"/>
              </w:rPr>
            </w:pPr>
          </w:p>
        </w:tc>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57,456</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57,208</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Finished goods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18,898</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16,705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Raw materials</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inventories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20,879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18,310</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Supplies, prepaid items and other:</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insurance</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12,588</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Precious metals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Supplies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33,860</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33,399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5,380</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supplies, prepaid items and other</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60,164</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65,905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held for sale</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342,970</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293,294</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831,071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833,525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assets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45,571</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Intangible and other assets, net</w:t>
            </w:r>
          </w:p>
        </w:tc>
        <w:tc>
          <w:tcPr>
            <w:tcW w:w="1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assets</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50,479</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46,720</w:t>
            </w: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1,224,520</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1,173,539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Short-term financing</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10,686</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113,908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105,511</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441,272</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440,295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accrued and other liabilities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70,524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69,557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5)</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$.10 par value per share; 150 million shares authorized,</w:t>
            </w: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91.2 million shares issued</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0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511,035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506,821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262,118</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232,275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782,270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748,213</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Less treasury stock, at cost:</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19.2 million shares (19.5 million shares at December 31, 2025)</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224,164</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228,240</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558,106</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519,973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1,224,520</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1,173,539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-3188335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-3188335</wp:posOffset>
            </wp:positionV>
            <wp:extent cx="59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-2914015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-2896870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-2914015</wp:posOffset>
            </wp:positionV>
            <wp:extent cx="59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-2896870</wp:posOffset>
            </wp:positionV>
            <wp:extent cx="59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-2116455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-2116455</wp:posOffset>
            </wp:positionV>
            <wp:extent cx="59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-694055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-694055</wp:posOffset>
            </wp:positionV>
            <wp:extent cx="59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-161925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-161925</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81"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8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60" w:type="dxa"/>
            <w:vAlign w:val="bottom"/>
            <w:gridSpan w:val="6"/>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158,602</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155,431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496,181</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450,159</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387,059</w:t>
            </w:r>
          </w:p>
        </w:tc>
        <w:tc>
          <w:tcPr>
            <w:tcW w:w="100" w:type="dxa"/>
            <w:vAlign w:val="bottom"/>
          </w:tcPr>
          <w:p>
            <w:pPr>
              <w:spacing w:after="0"/>
              <w:rPr>
                <w:sz w:val="18"/>
                <w:szCs w:val="18"/>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43,102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18"/>
                <w:szCs w:val="18"/>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other income, net</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(4,600)</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Pr>
          <w:p>
            <w:pPr>
              <w:spacing w:after="0"/>
              <w:rPr>
                <w:sz w:val="18"/>
                <w:szCs w:val="18"/>
                <w:color w:val="auto"/>
              </w:rPr>
            </w:pPr>
          </w:p>
        </w:tc>
      </w:tr>
      <w:tr>
        <w:trPr>
          <w:trHeight w:val="24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00" w:type="dxa"/>
            <w:vAlign w:val="bottom"/>
            <w:shd w:val="clear" w:color="auto" w:fill="CFF0FC"/>
          </w:tcPr>
          <w:p>
            <w:pPr>
              <w:spacing w:after="0"/>
              <w:rPr>
                <w:sz w:val="21"/>
                <w:szCs w:val="21"/>
                <w:color w:val="auto"/>
              </w:rPr>
            </w:pPr>
          </w:p>
        </w:tc>
      </w:tr>
      <w:tr>
        <w:trPr>
          <w:trHeight w:val="197"/>
        </w:trPr>
        <w:tc>
          <w:tcPr>
            <w:tcW w:w="48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FF0FC"/>
          </w:tcPr>
          <w:p>
            <w:pPr>
              <w:spacing w:after="0"/>
              <w:rPr>
                <w:sz w:val="22"/>
                <w:szCs w:val="22"/>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FF0FC"/>
          </w:tcPr>
          <w:p>
            <w:pPr>
              <w:spacing w:after="0"/>
              <w:rPr>
                <w:sz w:val="22"/>
                <w:szCs w:val="22"/>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60" w:type="dxa"/>
            <w:vAlign w:val="bottom"/>
            <w:shd w:val="clear" w:color="auto" w:fill="CFF0FC"/>
          </w:tcPr>
          <w:p>
            <w:pPr>
              <w:spacing w:after="0"/>
              <w:rPr>
                <w:sz w:val="22"/>
                <w:szCs w:val="22"/>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spacing w:after="0"/>
              <w:rPr>
                <w:sz w:val="22"/>
                <w:szCs w:val="22"/>
                <w:color w:val="auto"/>
              </w:rPr>
            </w:pPr>
          </w:p>
        </w:tc>
      </w:tr>
      <w:tr>
        <w:trPr>
          <w:trHeight w:val="197"/>
        </w:trPr>
        <w:tc>
          <w:tcPr>
            <w:tcW w:w="48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-1036320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-1019175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-1036320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-1019175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-1036320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-1019175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-462280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-445135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-462280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-445135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-462280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-445135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3"/>
                <w:szCs w:val="13"/>
                <w:color w:val="auto"/>
              </w:rPr>
            </w:pPr>
          </w:p>
        </w:tc>
        <w:tc>
          <w:tcPr>
            <w:tcW w:w="8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w:t>
            </w:r>
          </w:p>
        </w:tc>
        <w:tc>
          <w:tcPr>
            <w:tcW w:w="14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6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2025</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91,168</w:t>
            </w:r>
          </w:p>
        </w:tc>
        <w:tc>
          <w:tcPr>
            <w:tcW w:w="146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(19,505)</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9,117</w:t>
            </w:r>
          </w:p>
        </w:tc>
        <w:tc>
          <w:tcPr>
            <w:tcW w:w="32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506,821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232,275</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(228,240)</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519,973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4,788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compensation</w:t>
            </w:r>
          </w:p>
        </w:tc>
        <w:tc>
          <w:tcPr>
            <w:tcW w:w="9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(3,954)</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withheld upon vesting</w:t>
            </w:r>
          </w:p>
        </w:tc>
        <w:tc>
          <w:tcPr>
            <w:tcW w:w="94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(1,497)</w:t>
            </w:r>
          </w:p>
        </w:tc>
        <w:tc>
          <w:tcPr>
            <w:tcW w:w="1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(1,497)</w:t>
            </w: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80"/>
              <w:spacing w:after="0" w:line="158" w:lineRule="exact"/>
              <w:rPr>
                <w:sz w:val="20"/>
                <w:szCs w:val="20"/>
                <w:color w:val="auto"/>
              </w:rPr>
            </w:pPr>
            <w:r>
              <w:rPr>
                <w:rFonts w:ascii="Times New Roman" w:cs="Times New Roman" w:eastAsia="Times New Roman" w:hAnsi="Times New Roman"/>
                <w:sz w:val="14"/>
                <w:szCs w:val="14"/>
                <w:color w:val="auto"/>
              </w:rPr>
              <w:t>of equity compensation</w:t>
            </w:r>
          </w:p>
        </w:tc>
        <w:tc>
          <w:tcPr>
            <w:tcW w:w="940" w:type="dxa"/>
            <w:vAlign w:val="bottom"/>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2026</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(19,319)</w:t>
            </w: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507,655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251,960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(225,783)</w:t>
            </w: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542,949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(6,189)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(6,189)</w:t>
            </w: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9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compensation</w:t>
            </w:r>
          </w:p>
        </w:tc>
        <w:tc>
          <w:tcPr>
            <w:tcW w:w="9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withheld upon vesting</w:t>
            </w:r>
          </w:p>
        </w:tc>
        <w:tc>
          <w:tcPr>
            <w:tcW w:w="94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(584)</w:t>
            </w:r>
          </w:p>
        </w:tc>
        <w:tc>
          <w:tcPr>
            <w:tcW w:w="1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80"/>
              <w:spacing w:after="0" w:line="158" w:lineRule="exact"/>
              <w:rPr>
                <w:sz w:val="20"/>
                <w:szCs w:val="20"/>
                <w:color w:val="auto"/>
              </w:rPr>
            </w:pPr>
            <w:r>
              <w:rPr>
                <w:rFonts w:ascii="Times New Roman" w:cs="Times New Roman" w:eastAsia="Times New Roman" w:hAnsi="Times New Roman"/>
                <w:sz w:val="14"/>
                <w:szCs w:val="14"/>
                <w:color w:val="auto"/>
              </w:rPr>
              <w:t>of equity compensation</w:t>
            </w:r>
          </w:p>
        </w:tc>
        <w:tc>
          <w:tcPr>
            <w:tcW w:w="940" w:type="dxa"/>
            <w:vAlign w:val="bottom"/>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2026</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(19,171)</w:t>
            </w: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508,493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245,771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(224,164)</w:t>
            </w: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539,217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2026</w:t>
            </w: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(19,171)</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511,035</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262,118</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(224,164)</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558,106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2024</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91,168</w:t>
            </w:r>
          </w:p>
        </w:tc>
        <w:tc>
          <w:tcPr>
            <w:tcW w:w="14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(19,528)</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9,117</w:t>
            </w:r>
          </w:p>
        </w:tc>
        <w:tc>
          <w:tcPr>
            <w:tcW w:w="3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504,578</w:t>
            </w:r>
          </w:p>
        </w:tc>
        <w:tc>
          <w:tcPr>
            <w:tcW w:w="22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207,662</w:t>
            </w:r>
          </w:p>
        </w:tc>
        <w:tc>
          <w:tcPr>
            <w:tcW w:w="120" w:type="dxa"/>
            <w:vAlign w:val="bottom"/>
          </w:tcPr>
          <w:p>
            <w:pPr>
              <w:spacing w:after="0"/>
              <w:rPr>
                <w:sz w:val="12"/>
                <w:szCs w:val="12"/>
                <w:color w:val="auto"/>
              </w:rPr>
            </w:pPr>
          </w:p>
        </w:tc>
        <w:tc>
          <w:tcPr>
            <w:tcW w:w="2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(229,717)</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491,640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compensation</w:t>
            </w:r>
          </w:p>
        </w:tc>
        <w:tc>
          <w:tcPr>
            <w:tcW w:w="9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(4,344)</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4,344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upon vesting</w:t>
            </w:r>
          </w:p>
        </w:tc>
        <w:tc>
          <w:tcPr>
            <w:tcW w:w="94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(1,170)</w:t>
            </w:r>
          </w:p>
        </w:tc>
        <w:tc>
          <w:tcPr>
            <w:tcW w:w="18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(1,170)</w:t>
            </w:r>
          </w:p>
        </w:tc>
        <w:tc>
          <w:tcPr>
            <w:tcW w:w="0" w:type="dxa"/>
            <w:vAlign w:val="bottom"/>
          </w:tcPr>
          <w:p>
            <w:pPr>
              <w:spacing w:after="0"/>
              <w:rPr>
                <w:sz w:val="1"/>
                <w:szCs w:val="1"/>
                <w:color w:val="auto"/>
              </w:rPr>
            </w:pPr>
          </w:p>
        </w:tc>
      </w:tr>
      <w:tr>
        <w:trPr>
          <w:trHeight w:val="158"/>
        </w:trPr>
        <w:tc>
          <w:tcPr>
            <w:tcW w:w="3080" w:type="dxa"/>
            <w:vAlign w:val="bottom"/>
          </w:tcPr>
          <w:p>
            <w:pPr>
              <w:ind w:left="80"/>
              <w:spacing w:after="0" w:line="158" w:lineRule="exact"/>
              <w:rPr>
                <w:sz w:val="20"/>
                <w:szCs w:val="20"/>
                <w:color w:val="auto"/>
              </w:rPr>
            </w:pPr>
            <w:r>
              <w:rPr>
                <w:rFonts w:ascii="Times New Roman" w:cs="Times New Roman" w:eastAsia="Times New Roman" w:hAnsi="Times New Roman"/>
                <w:sz w:val="14"/>
                <w:szCs w:val="14"/>
                <w:color w:val="auto"/>
              </w:rPr>
              <w:t>of equity compensation</w:t>
            </w:r>
          </w:p>
        </w:tc>
        <w:tc>
          <w:tcPr>
            <w:tcW w:w="9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(19,292)</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501,967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206,022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(226,543)</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490,563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9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compensation</w:t>
            </w:r>
          </w:p>
        </w:tc>
        <w:tc>
          <w:tcPr>
            <w:tcW w:w="9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upon vesting</w:t>
            </w:r>
          </w:p>
        </w:tc>
        <w:tc>
          <w:tcPr>
            <w:tcW w:w="94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58"/>
        </w:trPr>
        <w:tc>
          <w:tcPr>
            <w:tcW w:w="3080" w:type="dxa"/>
            <w:vAlign w:val="bottom"/>
          </w:tcPr>
          <w:p>
            <w:pPr>
              <w:ind w:left="80"/>
              <w:spacing w:after="0" w:line="158" w:lineRule="exact"/>
              <w:rPr>
                <w:sz w:val="20"/>
                <w:szCs w:val="20"/>
                <w:color w:val="auto"/>
              </w:rPr>
            </w:pPr>
            <w:r>
              <w:rPr>
                <w:rFonts w:ascii="Times New Roman" w:cs="Times New Roman" w:eastAsia="Times New Roman" w:hAnsi="Times New Roman"/>
                <w:sz w:val="14"/>
                <w:szCs w:val="14"/>
                <w:color w:val="auto"/>
              </w:rPr>
              <w:t>of equity compensation</w:t>
            </w:r>
          </w:p>
        </w:tc>
        <w:tc>
          <w:tcPr>
            <w:tcW w:w="9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(19,233)</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503,496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209,028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(225,841)</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495,800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9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compensation</w:t>
            </w:r>
          </w:p>
        </w:tc>
        <w:tc>
          <w:tcPr>
            <w:tcW w:w="9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upon vesting</w:t>
            </w:r>
          </w:p>
        </w:tc>
        <w:tc>
          <w:tcPr>
            <w:tcW w:w="940" w:type="dxa"/>
            <w:vAlign w:val="bottom"/>
          </w:tcPr>
          <w:p>
            <w:pPr>
              <w:spacing w:after="0"/>
              <w:rPr>
                <w:sz w:val="10"/>
                <w:szCs w:val="10"/>
                <w:color w:val="auto"/>
              </w:rPr>
            </w:pPr>
          </w:p>
        </w:tc>
        <w:tc>
          <w:tcPr>
            <w:tcW w:w="14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58"/>
        </w:trPr>
        <w:tc>
          <w:tcPr>
            <w:tcW w:w="3080" w:type="dxa"/>
            <w:vAlign w:val="bottom"/>
          </w:tcPr>
          <w:p>
            <w:pPr>
              <w:ind w:left="80"/>
              <w:spacing w:after="0" w:line="158" w:lineRule="exact"/>
              <w:rPr>
                <w:sz w:val="20"/>
                <w:szCs w:val="20"/>
                <w:color w:val="auto"/>
              </w:rPr>
            </w:pPr>
            <w:r>
              <w:rPr>
                <w:rFonts w:ascii="Times New Roman" w:cs="Times New Roman" w:eastAsia="Times New Roman" w:hAnsi="Times New Roman"/>
                <w:sz w:val="14"/>
                <w:szCs w:val="14"/>
                <w:color w:val="auto"/>
              </w:rPr>
              <w:t>of equity compensation</w:t>
            </w:r>
          </w:p>
        </w:tc>
        <w:tc>
          <w:tcPr>
            <w:tcW w:w="94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(19,224)</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505,072</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216,143</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(225,723)</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504,609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-3274060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-3274060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-3274060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-3274060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-3274060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-3274060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-2614295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-2614295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-2614295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-2614295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-2614295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-2614295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-2219325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-2202180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-2322195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-2219325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-2202180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-2322195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-2219325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-2202180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-2322195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-2219325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-2202180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-2322195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-2219325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-2202180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-2322195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-2219325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-2202180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-2322195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-24765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-24765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196"/>
        </w:trPr>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6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Write-downs of property, plant and equipment</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provided (used) by changes in operating assets and liabilities: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(7,940)</w:t>
            </w: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insurance</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w:t>
            </w:r>
          </w:p>
        </w:tc>
      </w:tr>
      <w:tr>
        <w:trPr>
          <w:trHeight w:val="216"/>
        </w:trPr>
        <w:tc>
          <w:tcPr>
            <w:tcW w:w="6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(14,665)</w:t>
            </w: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interest</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(1,187)</w:t>
            </w: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 and other liabilities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77,575</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(64,350)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(56,325)</w:t>
            </w: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Development of carbon capture and sequestration facility</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(24,108)</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211,423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(257,234)</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(171,825)</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Recovery of property, plant and equipment costs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68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(100,271)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(16,942)</w:t>
            </w:r>
          </w:p>
        </w:tc>
      </w:tr>
      <w:tr>
        <w:trPr>
          <w:trHeight w:val="216"/>
        </w:trPr>
        <w:tc>
          <w:tcPr>
            <w:tcW w:w="6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revolving debt facility</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revolving debt facility</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Repurchases of 6.25% Senior Secured Notes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(32,076)</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other long-term debt</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(9,024)</w:t>
            </w: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on short-term financing</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(10,686)</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(10,761)</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program</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 paid on equity awards</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(1,212)</w:t>
            </w: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9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(52,912)</w:t>
            </w:r>
          </w:p>
        </w:tc>
        <w:tc>
          <w:tcPr>
            <w:tcW w:w="100" w:type="dxa"/>
            <w:vAlign w:val="bottom"/>
          </w:tcPr>
          <w:p>
            <w:pPr>
              <w:spacing w:after="0"/>
              <w:rPr>
                <w:sz w:val="18"/>
                <w:szCs w:val="18"/>
                <w:color w:val="auto"/>
              </w:rPr>
            </w:pPr>
          </w:p>
        </w:tc>
      </w:tr>
      <w:tr>
        <w:trPr>
          <w:trHeight w:val="210"/>
        </w:trPr>
        <w:tc>
          <w:tcPr>
            <w:tcW w:w="6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tcPr>
          <w:p>
            <w:pPr>
              <w:spacing w:after="0"/>
              <w:rPr>
                <w:sz w:val="18"/>
                <w:szCs w:val="18"/>
                <w:color w:val="auto"/>
              </w:rPr>
            </w:pP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27,951</w:t>
            </w:r>
          </w:p>
        </w:tc>
        <w:tc>
          <w:tcPr>
            <w:tcW w:w="100" w:type="dxa"/>
            <w:vAlign w:val="bottom"/>
            <w:shd w:val="clear" w:color="auto" w:fill="CFF0FC"/>
          </w:tcPr>
          <w:p>
            <w:pPr>
              <w:spacing w:after="0"/>
              <w:rPr>
                <w:sz w:val="19"/>
                <w:szCs w:val="19"/>
                <w:color w:val="auto"/>
              </w:rPr>
            </w:pPr>
          </w:p>
        </w:tc>
      </w:tr>
      <w:tr>
        <w:trPr>
          <w:trHeight w:val="20"/>
        </w:trPr>
        <w:tc>
          <w:tcPr>
            <w:tcW w:w="6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9460" w:type="dxa"/>
            <w:vAlign w:val="bottom"/>
            <w:gridSpan w:val="5"/>
          </w:tcPr>
          <w:p>
            <w:pPr>
              <w:ind w:left="250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68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-3188335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-959485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-942340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 references to “LSB Industries,” “LSB,” the “Company,” “we,” “us,” and “our” refer to LSB Industries, Inc. and its subsidiaries on a consolidated basis, except where the context makes clear that the reference is only to LSB Industries, Inc. itself and not its subsidiaries. The accompanying unaudited condensed consolidated interim financial statements and notes of LSB have been prepared pursuant to the rules and regulations of the Securities and Exchange Commission (the “SEC”). Pursuant to such rules and regulations, certain disclosures normally included in financial statements prepared in accordance with United States generally accepted accounting principles (“U.S. GAAP”) have been omitted. The accompanying unaudited condensed consolidated interim financial statements and notes should be read in conjunction with the financial statements and notes included in the Company’s Annual Report on Form 10-K for the year ended December 31, 2025 (our “2025 Form 10-K”), filed with the SEC on February 26, 2026. The accompanying unaudited interim financial statements in this report reflect all adjustments that are, in the opinion of management, necessary for a fair statement of the Company’s results of operations and cash flows for the three and nine months ended September 30, 2026 and 2025 and the Company’s financial position as of September 30, 2026.</w:t>
      </w:r>
    </w:p>
    <w:p>
      <w:pPr>
        <w:spacing w:after="0" w:line="5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 </w:t>
      </w:r>
      <w:r>
        <w:rPr>
          <w:rFonts w:ascii="Times New Roman" w:cs="Times New Roman" w:eastAsia="Times New Roman" w:hAnsi="Times New Roman"/>
          <w:sz w:val="18"/>
          <w:szCs w:val="18"/>
          <w:color w:val="auto"/>
        </w:rPr>
        <w:t>LSB Industries, Inc. and its subsidiaries are consolidated in the accompanying unaudited condensed consolidated interim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All intercompany accounts and transactions have been eliminated. Certain prior period amounts reported in our unaudited condensed consolidated interim financial statements and notes thereto have been reclassified to conform to current period presentation.</w:t>
      </w:r>
    </w:p>
    <w:p>
      <w:pPr>
        <w:spacing w:after="0" w:line="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Nature of Business – </w:t>
      </w:r>
      <w:r>
        <w:rPr>
          <w:rFonts w:ascii="Times New Roman" w:cs="Times New Roman" w:eastAsia="Times New Roman" w:hAnsi="Times New Roman"/>
          <w:sz w:val="18"/>
          <w:szCs w:val="18"/>
          <w:color w:val="auto"/>
        </w:rPr>
        <w:t>We are engaged in the manufacture and sale of chemical products. The chemical products we primarily manufacture, market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 ammonia and urea ammonia nitrate (“UAN”) for agricultural applications, and (ii) high purity and commercial grade ammonia, high purity ammonium nitrate, sulfuric acids, concentrated, blended and regular nitric acid, mixed nitrating acids, carbon dioxide, and industrial grade ammonium nitrate (“LDAN”) and ammonium nitrate (“AN”) solutions for industrial applications.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w:t>
      </w:r>
    </w:p>
    <w:p>
      <w:pPr>
        <w:spacing w:after="0" w:line="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customers include farmers, ranchers, fertilizer dealers and distributors primarily in the ranch land and grain production markets in the United States; industrial users of acids throughout the United States and parts of Canada; and explosives manufacturers in United States and other parts of North America.</w:t>
      </w:r>
    </w:p>
    <w:p>
      <w:pPr>
        <w:spacing w:after="0" w:line="2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Seasonality – </w:t>
      </w:r>
      <w:r>
        <w:rPr>
          <w:rFonts w:ascii="Times New Roman" w:cs="Times New Roman" w:eastAsia="Times New Roman" w:hAnsi="Times New Roman"/>
          <w:sz w:val="18"/>
          <w:szCs w:val="18"/>
          <w:color w:val="auto"/>
        </w:rPr>
        <w:t>The interim results in this report are not necessarily indicative of results for a full year due, in part, to the seasonality of our sales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agricultural products and the timing of performing our major plant maintenance activities. Our selling seasons for agricultural products are primarily during the spring and fall planting seasons, which typically extend from March through June and from September through November, respectively.</w:t>
      </w:r>
    </w:p>
    <w:p>
      <w:pPr>
        <w:spacing w:after="0" w:line="4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 </w:t>
      </w:r>
      <w:r>
        <w:rPr>
          <w:rFonts w:ascii="Times New Roman" w:cs="Times New Roman" w:eastAsia="Times New Roman" w:hAnsi="Times New Roman"/>
          <w:sz w:val="18"/>
          <w:szCs w:val="18"/>
          <w:color w:val="auto"/>
        </w:rPr>
        <w:t>The preparation of consolidated financial statements in conformity with U.S.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Equity Awards – </w:t>
      </w:r>
      <w:r>
        <w:rPr>
          <w:rFonts w:ascii="Times New Roman" w:cs="Times New Roman" w:eastAsia="Times New Roman" w:hAnsi="Times New Roman"/>
          <w:sz w:val="18"/>
          <w:szCs w:val="18"/>
          <w:color w:val="auto"/>
        </w:rPr>
        <w:t>Equity award transactions with employees are measured based on the estimated fair value of the equity awards issued. For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only a service condition, the grant date fair value is based on the market price of our common stock and compensation is recognized so long as the service condition is met. For equity awards with simultaneous service, market and performance conditions, the grant date fair value is based on a Monte Carlo simulation, and compensation is recognized so long as the service condition is met and it is probable the performance condition will be achieved without regard to the outcome of the market condition. For equity awards with a service and market condition, the grant date fair value is based on a Monte Carlo simulation, and compensation cost is recognized so long as the service condition is met, without regard to the outcome of the market condition. For equity awards with service conditions that have a graded vesting period, we recognize compensation cost on a straight-line basis over the requisite service period for the entire award. Forfeitures are accounted for as they occur.</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10, 2026, we entered into a side letter agreement (the “Side Letter”) with our Chief Executive Officer, Mark T. Behrman, which modifies all of Mr. Behrman’s outstanding equity awards to incorporate qualifying retirement provisions. Pursuant to the Side Letter, upon a qualifying retirement, all of Mr. Behrman’s outstanding time-based restricted stock units (“RSU”) will accelerate and vest in full. Additionally, all outstanding performance-based RSUs will accelerate and vest at the greater of (i) target or (ii) actual performance through the retirement date, as determined by our Compensation Committee of the Board of Directors. For the purposes of the Side Letter, a “qualifying retirement” is defined as a voluntary retirement occurring (i) on or after age 63 with at least five years of service, (ii) more than one year after the applicable grant date, and (iii) absent of any determination by us of grounds for termination for cause. All future equity awards granted to Mr. Behrman shall also include the same qualifying retirement provisions, unless otherwise agreed in writing by us and Mr. Behrman.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Upon the execution of the Side Letter, Mr. Behrman met the criteria for a qualifying retirement with respect to his equity awards granted in 2024 and 2025. As a result of the shortened amount of time that Mr. Behrman would be required to serve in order to be eligible for vesting, we accelerated recognition of the remaining compensation cost associated with those grants in the amount of $3.1 million during the first quarter of 2026. The modification impacted the timing of expense recognition for the impacted awards by bringing it forward, but did not increase total compensation cost.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24, 2026, the Company made a one-time retention grant of 706,880 time-based RSUs to Mr. Behrman under the 2025 Long-Term Incentive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are subject to cliff vesting and will vest on March 31, 2029, subject to Mr. Behrman’s continued service with the Company.</w:t>
      </w:r>
    </w:p>
    <w:p>
      <w:pPr>
        <w:spacing w:after="0" w:line="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Investments, which consist of highly liquid investments with original maturities of three months or less, are considered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w:t>
      </w:r>
    </w:p>
    <w:p>
      <w:pPr>
        <w:spacing w:after="0" w:line="4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 Investments, which consist of U.S. treasury securities with remaining maturity at the time of purchase greater than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but less than 12 months, are considered short-term investments and are classified as Level 1 under the fair value hierarchy. These investments are classified as held to maturity, consistent with our intent to hold these investments to maturity. U.S. treasury bills with remaining maturity at the time of purchase of three months or less are included in cash and cash equivalents. Due to the nature of these investments as U.S. treasury securities, no impairment is anticipated. See “Note 6. Financial Instruments” for more information regarding our short-term investments.</w:t>
      </w:r>
    </w:p>
    <w:p>
      <w:pPr>
        <w:spacing w:after="0" w:line="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Substantially all of our accounts receivable consists of trade receivables from customers. We have recognized an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forward-looking assessment, where applicable. We write off accounts receivable when we deem them uncollectible and record recoveries of accounts receivable previously written off when received.</w:t>
      </w:r>
    </w:p>
    <w:p>
      <w:pPr>
        <w:spacing w:after="0" w:line="7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 Property, plant and equipment (“PP&amp;E”) are stated at cost or fair market value in the case of assets acquired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or otherwise at reduced values to the extent there have been asset impairment write-downs, net of accumulated depreciation and amortization. Major renewals and improvements that increase the life, value, or productive capacity of assets are capitalized in PP&amp;E, while maintenance, repairs and minor renewals, including planned maintenance turnarounds, are expensed as incurred. Interest cost related to the construction of qualifying assets is capitalized as part of the construction costs.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financial reporting purposes, depreciation of the costs of PP&amp;E is computed using the straight-line method over the estimated useful lives of the assets. No provision for depreciation is made on construction in progress or capital spare parts until such time as the relevant assets are put into service. Depreciation expense is recognized in cost of sales or selling, general and administrative expense within the condensed consolidated statements of operations consistent with the utilization of the underlying assets.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PP&amp;E is retired, sold, or otherwise disposed, the asset’s carrying amount and related accumulated depreciation and amortization is removed from the accounts and any gain or loss is included in other expense (income), net in our condensed consolidated statements of operations.</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Long-lived assets are reviewed for impairment whenever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our asset groups are reviewed for impairment on a facility-by-facility basis (such as the Cherokee, El Dorado or Pryor Facility) unless it is determined that the asset being evaluated will generate cash flows that are independent from the rest of the facility.</w:t>
      </w:r>
    </w:p>
    <w:p>
      <w:pPr>
        <w:spacing w:after="0" w:line="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if the event or change in circumstance relates to the probable sale of an asset (or group of assets), the specific asset (or group of assets) is reviewed for impairment.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2026, we recorded net losses on asset disposals and write-downs in the amount of $2.9 million and $3.8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 Of these losses, for the three months ending September 30, 2026, $2.4 million was included in “Other expense (income), net”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was included in “Cost of sales” on our condensed consolidated statements of operations. For the nine months ending September 30, 2026, $3.3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was included in “Other expense (income), net” and $0.5 million was included in “Cost of sales” on our condensed consolidated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and nine months ended September 30, 2025, we recorded net losses on asset disposals and write-downs in the amount of $0.4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$3.0 million, respectively, all of which were included in “Other expense (income), net” on our condensed consolidated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Assets Held For Sale </w:t>
      </w:r>
      <w:r>
        <w:rPr>
          <w:rFonts w:ascii="Times New Roman" w:cs="Times New Roman" w:eastAsia="Times New Roman" w:hAnsi="Times New Roman"/>
          <w:sz w:val="18"/>
          <w:szCs w:val="18"/>
          <w:color w:val="auto"/>
        </w:rPr>
        <w:t>– In general, assets held for sale are reported at the lower of the carrying amounts of the assets or fair values less costs to sell.</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we entered into purchase and sale agreements for the disposition of real estate and tangible property for two former agricultural retail locations that had ceased operations. We closed on the sale of the first location on October 20, 2025, and closed on the sale of the second location on February 2, 2026. The aggregate purchase price for the real estate and tangible personal property at both locations was approximately $4.2 million.</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December 2025, we received an offer with respect to a parcel of land we own, for which we are currently negotiating a purchase and sale agreement. As the offer price was less than the carrying value of the land at the time, we recorded an impairment of $1.5 million on the parcel of land.</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Assets classified as held for sale on the condensed consolidated balance sheet as of September 30, 2026, reflect the net book value of the parcel of land for which a sale is pending, while the amount as of December 31, 2025, reflects the net book values of both the land and the former agricultural retail location sold in February 2026.</w:t>
      </w:r>
    </w:p>
    <w:p>
      <w:pPr>
        <w:spacing w:after="0" w:line="6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Short-Term Financing </w:t>
      </w:r>
      <w:r>
        <w:rPr>
          <w:rFonts w:ascii="Times New Roman" w:cs="Times New Roman" w:eastAsia="Times New Roman" w:hAnsi="Times New Roman"/>
          <w:sz w:val="18"/>
          <w:szCs w:val="18"/>
          <w:color w:val="auto"/>
        </w:rPr>
        <w:t>– Our short-term financing represents the short-term note related to financing of our insurance premium, which is renewed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annually.</w:t>
      </w:r>
    </w:p>
    <w:p>
      <w:pPr>
        <w:spacing w:after="0" w:line="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 Certain conditions may exist which may result in a loss, but which will only be resolved when future events occur. We assess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liabilities, and such assessment inherently involves an exercise of judgment. If the assessment of a contingency indicates that it is probable that a loss has been incurred, we accrue for such contingent loss when such loss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Partial Settlement of Global Industrial Matter and Related Claims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since 2016, the Company has been involved in litigation with respect to engineering and procurement contracts related to the construction of the ammonia plant at the El Dorado Facility. On April 2, 2026, the Company, certain of the Company’s wholly owned subsidiaries, and Benham Constructors, LLC (f/k/a Leidos Constructors, LLC, f/k/a SAIC Constructors, LLC) (“Benham”) entered into a Settlement and Mutual Release Agreement (the “Settlement Agreement”), effective March 26, 2026 (“Settlement Effective Date”), to settle certain claims asserted in the following matters: </w:t>
      </w:r>
      <w:r>
        <w:rPr>
          <w:rFonts w:ascii="Times New Roman" w:cs="Times New Roman" w:eastAsia="Times New Roman" w:hAnsi="Times New Roman"/>
          <w:sz w:val="18"/>
          <w:szCs w:val="18"/>
          <w:i w:val="1"/>
          <w:iCs w:val="1"/>
          <w:color w:val="auto"/>
        </w:rPr>
        <w:t>Global Industrial, Inc. d/b/a Global Turnaround (Plaintiff) v. Benham Constructors, LLC, et al (Defendants)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LSB Industries, Inc.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(Cross-Claimants and Counter Cross-Defendants) v. Benham Constructors, LLC, et al. (Cross-Defendants and Counter Cross-Claimants)</w:t>
      </w:r>
      <w:r>
        <w:rPr>
          <w:rFonts w:ascii="Times New Roman" w:cs="Times New Roman" w:eastAsia="Times New Roman" w:hAnsi="Times New Roman"/>
          <w:sz w:val="18"/>
          <w:szCs w:val="18"/>
          <w:color w:val="auto"/>
        </w:rPr>
        <w:t>, Union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Circuit Court, Civil Division, Case No. 70CV-16-76 (collectively, the “Action”).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Settlement Agreement, Benham agreed to pay the Company approximately $20.9 million within 60 days of the Settlement Effective Date. Subject to the terms of the Settlement Agreement, the Company and Benham agreed to dismiss their respective claims in the Action against each other, with prejudice. In addition to the cash component, the dismissal allowed us to reverse $2.9 million of payables related to this matter. Both amounts were recorded as reductions in the carrying value of PP&amp;E, which will reduce depreciation expense on a prospective basis. The Settlement Agreement does not include any admission of liability by any party. The settlement payment was received during the second quarter of 2026.</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Settlement Agreement did not release or otherwise discharge any claims, rights or remedies the Company has, may have had or may have in the future against Leidos Inc. (f/k/a Science Applications International Corporation) or Leidos Engineering, LLC (“Leidos Engineering”), including its claims for fraud and breach of contract. The Company plans to continue its vigorous prosecution of its filed claims against Leidos Inc. and Leidos Engineering and continues to seek actual and punitive damages in excess of $300 million. The trial for the Company’s claims against Leidos Inc. and Leidos Engineering began on October 26, 2026 and is expected to last approximately three to four weeks. We can provide no assurance as to the ultimate outcome of the pending litigation.</w:t>
      </w:r>
    </w:p>
    <w:p>
      <w:pPr>
        <w:spacing w:after="0" w:line="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Derivatives, Hedges and Financial Instruments </w:t>
      </w:r>
      <w:r>
        <w:rPr>
          <w:rFonts w:ascii="Times New Roman" w:cs="Times New Roman" w:eastAsia="Times New Roman" w:hAnsi="Times New Roman"/>
          <w:sz w:val="18"/>
          <w:szCs w:val="18"/>
          <w:color w:val="auto"/>
        </w:rPr>
        <w:t>– In order to mitigate a portion of the commodity price risk associated with natural gas, which we utilize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our manufacturing process, we periodically enter into natural gas forward contracts or volume purchase commitments. Such contracts are required to be accounted for as derivatives under applicable accounting guidance unless they are eligible for, and we elect the normal purchase normal sale (“NPNS”) exception. We are eligible for the NPNS exception when these contracts provide for the purchase of natural gas that will be delivered in quantities expected to be used over a reasonable period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time in the normal course of business and are documented as such. In the event that we have natural gas derivatives that we do not elect or do not qualify for the NPNS exception, we would account for such contracts as derivatives by recognizing them in the balance sheet at fair value with changes in fair value recognized in the statement of operations. Such derivatives are not designated as hedges for accounting purposes.</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using the following hierarchy, which is based upon the transparency of inputs to the valuation as of the measurement date:</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of assets and liabilities classified as Level 1 are based on quoted prices in active markets for identical contracts.</w:t>
      </w:r>
    </w:p>
    <w:p>
      <w:pPr>
        <w:spacing w:after="0" w:line="117" w:lineRule="exact"/>
        <w:rPr>
          <w:sz w:val="20"/>
          <w:szCs w:val="20"/>
          <w:color w:val="auto"/>
        </w:rPr>
      </w:pPr>
    </w:p>
    <w:p>
      <w:pPr>
        <w:ind w:left="380"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of assets and liabilities classified as Level 2 are based on quoted prices for similar contracts and valuation inputs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quoted prices that are observable for these contracts.</w:t>
      </w:r>
    </w:p>
    <w:p>
      <w:pPr>
        <w:spacing w:after="0" w:line="47" w:lineRule="exact"/>
        <w:rPr>
          <w:sz w:val="20"/>
          <w:szCs w:val="20"/>
          <w:color w:val="auto"/>
        </w:rPr>
      </w:pPr>
    </w:p>
    <w:p>
      <w:pPr>
        <w:ind w:left="380" w:right="7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Valuations of assets and liabilities classified as Level 3 are based on prices or valuation techniques that require inputs that are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unobservable and significant to the overall fair value measurement.</w:t>
      </w:r>
    </w:p>
    <w:p>
      <w:pPr>
        <w:spacing w:after="0" w:line="47"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 We are the lessee in most of the lease arrangements we enter into. We determine if an arrangement is a lease at inception or modification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spacing w:after="0" w:line="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primarily relate to railcars. Variable payments are excluded from the present value of lease payments and are recognized in the period in which the payment is made. We apply a practical expedient to combine lease and non-lease components in calculating the right of use asset and lease liability to certain classes of underlying assets. Our current leases do not contain residual value guarantees. Most of our leases do not include options to extend or terminate the lease prior to the end of the term. Leases with a term of 12 months or less are not recognized in the balance sheet.</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a lessee, we use our incremental borrowing rate based on the lease term and other information available at the commencement date in determining the present value of lease payments. Lease expense is recognized on a straight-line basis over the applicable lease term.</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From time to time when we have excess freight capacity, we may sublease a portion of our railcars fleet on a short-term basis to other parties. The income from these subleases is recorded as a component of “Other expense (income), net” in our condensed consolidated statements of operations. For the nine months ended September 30, 2026 and 2025, sublease income was not material.</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As of September 30, 2026, we had executed operating leases for railcars with lease terms </w:t>
      </w:r>
      <w:r>
        <w:rPr>
          <w:rFonts w:ascii="Times New Roman" w:cs="Times New Roman" w:eastAsia="Times New Roman" w:hAnsi="Times New Roman"/>
          <w:sz w:val="18"/>
          <w:szCs w:val="18"/>
          <w:color w:val="111827"/>
        </w:rPr>
        <w:t>that had not yet commenced. The leases have terms greater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827"/>
        </w:rPr>
        <w:t>one year, with aggregate lease payments of approximately $7.4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7"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ASU 2025-05 - </w:t>
      </w:r>
      <w:r>
        <w:rPr>
          <w:rFonts w:ascii="Times New Roman" w:cs="Times New Roman" w:eastAsia="Times New Roman" w:hAnsi="Times New Roman"/>
          <w:sz w:val="18"/>
          <w:szCs w:val="18"/>
          <w:color w:val="auto"/>
        </w:rPr>
        <w:t>In July 2025, the Financial Accounting Standards Board (“FASB”) issued ASU 2025-05,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 Instruments—Credit Losses (Topic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326): Measurements of Credit Losses for Accounts Receivable and Contract Assets </w:t>
      </w:r>
      <w:r>
        <w:rPr>
          <w:rFonts w:ascii="Times New Roman" w:cs="Times New Roman" w:eastAsia="Times New Roman" w:hAnsi="Times New Roman"/>
          <w:sz w:val="18"/>
          <w:szCs w:val="18"/>
          <w:color w:val="auto"/>
        </w:rPr>
        <w:t>(“ASU 2025-05”). The amendments in this ASU provide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related to the estimation of expected credit losses for current accounts receivable and current contract assets that arise from our sales transactions. The practical expedient permits us to assume current conditions as of the balance sheet date that do not change for the remaining life of the current accounts receivable and current contract assets. Public business entities are not permitted to elect the optional accounting policy to consider subsequent cash collections. We adopted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on January 1, 2026, on a prospective basis. The adoption did not have a material impact on our condensed consolidated financial statements. No changes were made to our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loss estimation methodologies.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ASU 2024-03 - </w:t>
      </w:r>
      <w:r>
        <w:rPr>
          <w:rFonts w:ascii="Times New Roman" w:cs="Times New Roman" w:eastAsia="Times New Roman" w:hAnsi="Times New Roman"/>
          <w:sz w:val="18"/>
          <w:szCs w:val="18"/>
          <w:color w:val="auto"/>
        </w:rPr>
        <w:t>In November 2024, the FASB issued Accounting Standards Update (“ASU”) 2024-03,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Statement – Reporting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 Expense Disaggregation Disclosures (Subtopic 220-40): Disaggregation of Income Statement Expenses</w:t>
      </w:r>
      <w:r>
        <w:rPr>
          <w:rFonts w:ascii="Times New Roman" w:cs="Times New Roman" w:eastAsia="Times New Roman" w:hAnsi="Times New Roman"/>
          <w:sz w:val="18"/>
          <w:szCs w:val="18"/>
          <w:color w:val="auto"/>
        </w:rPr>
        <w:t>. This ASU requires an entity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amounts of purchases of inventory, employee compensation, depreciation, and intangible asset amortization included in each relevant expense caption. It also requires an entity to include certain amounts that are already required to be disclosed under current U.S. GAAP in the same disclosure. Additionally, it requires an entity to disclose a qualitative description of the amounts remaining in relevant expense captions that are not separately disaggregated quantitatively, and to disclose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we are currently evaluating the effect of adopting this ASU on the disclosures in our financial statements, we do not expect this ASU to impact our financial condition and results of operations.</w:t>
      </w:r>
    </w:p>
    <w:p>
      <w:pPr>
        <w:spacing w:after="0" w:line="7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ASU 2025-11 - </w:t>
      </w:r>
      <w:r>
        <w:rPr>
          <w:rFonts w:ascii="Times New Roman" w:cs="Times New Roman" w:eastAsia="Times New Roman" w:hAnsi="Times New Roman"/>
          <w:sz w:val="18"/>
          <w:szCs w:val="18"/>
          <w:color w:val="auto"/>
        </w:rPr>
        <w:t>In December 2025, the FASB issued ASU 2025-11,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update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us beginning in the fiscal year ending December 31, 2028, including interim periods within those fiscal years. While we are currently evaluating the effect of adopting this ASU on the disclosures in our financial statements, we do not expect this ASU to impact our financial condition and results of operations.</w:t>
      </w:r>
    </w:p>
    <w:p>
      <w:pPr>
        <w:spacing w:after="0" w:line="7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Changes to U.S. GAAP are established by the FASB in the form of ASUs to the FASB’s Accounting Standards Codification. We considered all ASUs issued and outstanding or that became effective since January 1, 2026 through the date of these financial statements and determined them not to be applicable or materially impact our financial statements other than those ASUs specifically addressed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(Loss) Income per Common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980" w:type="dxa"/>
            <w:vAlign w:val="bottom"/>
            <w:gridSpan w:val="5"/>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4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Numerator for basic and diluted net</w:t>
            </w:r>
          </w:p>
        </w:tc>
        <w:tc>
          <w:tcPr>
            <w:tcW w:w="840" w:type="dxa"/>
            <w:vAlign w:val="bottom"/>
            <w:vMerge w:val="restart"/>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4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5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income per common share</w:t>
            </w:r>
          </w:p>
        </w:tc>
        <w:tc>
          <w:tcPr>
            <w:tcW w:w="840" w:type="dxa"/>
            <w:vAlign w:val="bottom"/>
            <w:vMerge w:val="continue"/>
            <w:shd w:val="clear" w:color="auto" w:fill="CFF0FC"/>
          </w:tcPr>
          <w:p>
            <w:pPr>
              <w:spacing w:after="0"/>
              <w:rPr>
                <w:sz w:val="20"/>
                <w:szCs w:val="20"/>
                <w:color w:val="auto"/>
              </w:rPr>
            </w:pPr>
          </w:p>
        </w:tc>
        <w:tc>
          <w:tcPr>
            <w:tcW w:w="540" w:type="dxa"/>
            <w:vAlign w:val="bottom"/>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480" w:type="dxa"/>
            <w:vAlign w:val="bottom"/>
            <w:gridSpan w:val="2"/>
            <w:vMerge w:val="continue"/>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560" w:type="dxa"/>
            <w:vAlign w:val="bottom"/>
            <w:gridSpan w:val="2"/>
            <w:vMerge w:val="continue"/>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Denominator for basic net income per common</w:t>
            </w:r>
          </w:p>
        </w:tc>
        <w:tc>
          <w:tcPr>
            <w:tcW w:w="8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72,501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71,963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72,341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71,904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share - adjusted weighted-average shares</w:t>
            </w: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Unvested restricted stock and stock units</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8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9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Denominator for diluted net income per common</w:t>
            </w:r>
          </w:p>
        </w:tc>
        <w:tc>
          <w:tcPr>
            <w:tcW w:w="84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73,304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72,473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73,193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72,249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share - adjusted weighted-average shares</w:t>
            </w: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-1876425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-1859915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-1876425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-1859915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-1876425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-1859915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-882015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-882015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-882015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securities were not included in the computation of diluted net income per common share as their effect would have been antidilutive: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338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336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340" w:type="dxa"/>
            <w:vAlign w:val="bottom"/>
          </w:tcPr>
          <w:p>
            <w:pPr>
              <w:spacing w:after="0"/>
              <w:rPr>
                <w:sz w:val="12"/>
                <w:szCs w:val="12"/>
                <w:color w:val="auto"/>
              </w:rPr>
            </w:pPr>
          </w:p>
        </w:tc>
        <w:tc>
          <w:tcPr>
            <w:tcW w:w="1620" w:type="dxa"/>
            <w:vAlign w:val="bottom"/>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760" w:type="dxa"/>
            <w:vAlign w:val="bottom"/>
            <w:gridSpan w:val="2"/>
          </w:tcPr>
          <w:p>
            <w:pPr>
              <w:jc w:val="right"/>
              <w:ind w:right="5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600" w:type="dxa"/>
            <w:vAlign w:val="bottom"/>
          </w:tcPr>
          <w:p>
            <w:pPr>
              <w:jc w:val="right"/>
              <w:ind w:right="5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760" w:type="dxa"/>
            <w:vAlign w:val="bottom"/>
            <w:gridSpan w:val="2"/>
          </w:tcPr>
          <w:p>
            <w:pPr>
              <w:jc w:val="right"/>
              <w:ind w:right="5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34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919,936</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246,449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701,509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962,939</w:t>
            </w:r>
          </w:p>
        </w:tc>
      </w:tr>
      <w:tr>
        <w:trPr>
          <w:trHeight w:val="210"/>
        </w:trPr>
        <w:tc>
          <w:tcPr>
            <w:tcW w:w="434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919,936</w:t>
            </w:r>
          </w:p>
        </w:tc>
        <w:tc>
          <w:tcPr>
            <w:tcW w:w="16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246,449</w:t>
            </w:r>
          </w:p>
        </w:tc>
        <w:tc>
          <w:tcPr>
            <w:tcW w:w="16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701,509</w:t>
            </w:r>
          </w:p>
        </w:tc>
        <w:tc>
          <w:tcPr>
            <w:tcW w:w="16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962,939</w:t>
            </w:r>
          </w:p>
        </w:tc>
      </w:tr>
      <w:tr>
        <w:trPr>
          <w:trHeight w:val="20"/>
        </w:trPr>
        <w:tc>
          <w:tcPr>
            <w:tcW w:w="4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844"/>
        </w:trPr>
        <w:tc>
          <w:tcPr>
            <w:tcW w:w="4340" w:type="dxa"/>
            <w:vAlign w:val="bottom"/>
          </w:tcPr>
          <w:p>
            <w:pPr>
              <w:spacing w:after="0"/>
              <w:rPr>
                <w:sz w:val="24"/>
                <w:szCs w:val="24"/>
                <w:color w:val="auto"/>
              </w:rPr>
            </w:pPr>
          </w:p>
        </w:tc>
        <w:tc>
          <w:tcPr>
            <w:tcW w:w="16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765"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and Other Liabilities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payroll and benefits</w:t>
      </w:r>
    </w:p>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noncurrent portion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portion of accrued and other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right"/>
              <w:ind w:right="74"/>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840" w:type="dxa"/>
            <w:vAlign w:val="bottom"/>
            <w:gridSpan w:val="3"/>
          </w:tcPr>
          <w:p>
            <w:pPr>
              <w:jc w:val="right"/>
              <w:ind w:right="1152"/>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r>
      <w:tr>
        <w:trPr>
          <w:trHeight w:val="216"/>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w:t>
            </w:r>
          </w:p>
        </w:tc>
      </w:tr>
      <w:tr>
        <w:trPr>
          <w:trHeight w:val="191"/>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44,622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30,086</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44,087</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29,551</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-1002030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-728345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-445135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-162560</wp:posOffset>
            </wp:positionV>
            <wp:extent cx="71323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7020" w:space="720"/>
            <w:col w:w="3500"/>
          </w:cols>
          <w:pgMar w:left="320" w:top="765" w:right="339" w:bottom="1440" w:gutter="0" w:footer="0" w:header="0"/>
          <w:type w:val="continuous"/>
        </w:sectPr>
      </w:pPr>
    </w:p>
    <w:p>
      <w:pPr>
        <w:ind w:left="380" w:hanging="372"/>
        <w:spacing w:after="0" w:line="261" w:lineRule="auto"/>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“Other” included accrued property taxes of $2.3 million and accrued legal fees of $1.5 million. As of December 31, 2025, “Other” included accrued property taxes of $1.6 million and accrued legal fees of $0.2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debt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142"/>
        </w:trPr>
        <w:tc>
          <w:tcPr>
            <w:tcW w:w="6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(A)</w:t>
            </w:r>
          </w:p>
        </w:tc>
        <w:tc>
          <w:tcPr>
            <w:tcW w:w="1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Notes due 2028, with an interest rate of 6.25% (B)</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438,580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438,580</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 (C)</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Unamortized debt issuance costs </w:t>
            </w:r>
            <w:r>
              <w:rPr>
                <w:rFonts w:ascii="Times New Roman" w:cs="Times New Roman" w:eastAsia="Times New Roman" w:hAnsi="Times New Roman"/>
                <w:sz w:val="24"/>
                <w:szCs w:val="24"/>
                <w:color w:val="auto"/>
                <w:vertAlign w:val="superscript"/>
              </w:rPr>
              <w:t>(1)</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(2,752)</w:t>
            </w:r>
          </w:p>
        </w:tc>
        <w:tc>
          <w:tcPr>
            <w:tcW w:w="3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(3,758)</w:t>
            </w:r>
          </w:p>
        </w:tc>
      </w:tr>
      <w:tr>
        <w:trPr>
          <w:trHeight w:val="209"/>
        </w:trPr>
        <w:tc>
          <w:tcPr>
            <w:tcW w:w="60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442,160</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441,055</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8"/>
                <w:szCs w:val="18"/>
                <w:color w:val="auto"/>
              </w:rPr>
            </w:pPr>
          </w:p>
        </w:tc>
      </w:tr>
      <w:tr>
        <w:trPr>
          <w:trHeight w:val="250"/>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due after one year, net</w:t>
            </w:r>
          </w:p>
        </w:tc>
        <w:tc>
          <w:tcPr>
            <w:tcW w:w="1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441,272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w:t>
      </w:r>
    </w:p>
    <w:p>
      <w:pPr>
        <w:spacing w:after="0" w:line="87" w:lineRule="exact"/>
        <w:rPr>
          <w:sz w:val="20"/>
          <w:szCs w:val="20"/>
          <w:color w:val="auto"/>
        </w:rPr>
      </w:pPr>
    </w:p>
    <w:p>
      <w:pPr>
        <w:ind w:left="380" w:right="400" w:hanging="372"/>
        <w:spacing w:after="0" w:line="261"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issuance costs as of September 30, 2026 and December 31, 2025 of approximately $0.4 million and $0.5 million, respectively, relating to our Revolving Credit Facility (defined below) are not included in Unamortized debt issuance costs. Such costs are included in our condensed consolidated balance sheet in “Intangible and other assets, net.”</w:t>
      </w:r>
    </w:p>
    <w:p>
      <w:pPr>
        <w:spacing w:after="0" w:line="59" w:lineRule="exact"/>
        <w:rPr>
          <w:sz w:val="20"/>
          <w:szCs w:val="20"/>
          <w:color w:val="auto"/>
        </w:rPr>
      </w:pPr>
    </w:p>
    <w:p>
      <w:pPr>
        <w:ind w:left="380" w:right="40" w:hanging="372"/>
        <w:spacing w:after="0" w:line="254" w:lineRule="auto"/>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revolving credit facility pursuant to a credit agreement, dated December 21, 2023, between us, the lenders identified on the signature pages thereof and JPMorgan Chase Bank, N.A, as administrative agent (the “Revolving Credit Facility”), provides for borrowings up to an initial maximum of $75 million, with an option to increase the maximum by an additional $25 million (which amount is uncommitted). Availability under the Revolving Credit Facility is subject to a borrowing base and is also subject to an availability block of $7.5 million (which can be removed by us at our sole discretion, subject to the satisfaction of certain conditions) (the “Availability Block”). The Availability Block is applied against the $75 million maximum. The Revolving Credit Facility provides for a sub-facility for the issuance of letters of credit in an aggregate amount not to exceed $10 million, with the outstanding amount of any such letters of credit reducing availability for borrowings. As of September 30, 2026, our Revolving Credit Facility was undrawn and had approximately $62 million of availability, based on our eligible collateral.</w:t>
      </w:r>
    </w:p>
    <w:p>
      <w:pPr>
        <w:spacing w:after="0" w:line="83" w:lineRule="exact"/>
        <w:rPr>
          <w:rFonts w:ascii="Times New Roman" w:cs="Times New Roman" w:eastAsia="Times New Roman" w:hAnsi="Times New Roman"/>
          <w:sz w:val="18"/>
          <w:szCs w:val="18"/>
          <w:b w:val="1"/>
          <w:bCs w:val="1"/>
          <w:color w:val="auto"/>
        </w:rPr>
      </w:pPr>
    </w:p>
    <w:p>
      <w:pPr>
        <w:ind w:left="38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Revolving Credit Facility matures on December 21, 2028, subject to springing maturity to the date that is 90 days prior to the stated maturity date of our existing Senior Secured Notes (defined below), which is currently October 15, 2028 (unless such Senior Secured Notes have been repaid or redeemed in full prior thereto). Borrowings outstanding under the Revolving Credit Facility will bear interest at a rate per annum equal to, at our option,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spacing w:after="0" w:line="79" w:lineRule="exact"/>
        <w:rPr>
          <w:rFonts w:ascii="Times New Roman" w:cs="Times New Roman" w:eastAsia="Times New Roman" w:hAnsi="Times New Roman"/>
          <w:sz w:val="18"/>
          <w:szCs w:val="18"/>
          <w:b w:val="1"/>
          <w:bCs w:val="1"/>
          <w:color w:val="auto"/>
        </w:rPr>
      </w:pPr>
    </w:p>
    <w:p>
      <w:pPr>
        <w:jc w:val="both"/>
        <w:ind w:left="38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LSB Industries, Inc. and all of its subsidiaries (collectively, the “Borrowers”) are co-borrowers under the Revolving Credit Facility. Obligations under the Revolving Credit Facility are secured by a first priority security interest in substantially all of our current assets, including accounts receivable and inventory, subject to certain exceptions.</w:t>
      </w:r>
    </w:p>
    <w:p>
      <w:pPr>
        <w:spacing w:after="0" w:line="67" w:lineRule="exact"/>
        <w:rPr>
          <w:rFonts w:ascii="Times New Roman" w:cs="Times New Roman" w:eastAsia="Times New Roman" w:hAnsi="Times New Roman"/>
          <w:sz w:val="18"/>
          <w:szCs w:val="18"/>
          <w:b w:val="1"/>
          <w:bCs w:val="1"/>
          <w:color w:val="auto"/>
        </w:rPr>
      </w:pPr>
    </w:p>
    <w:p>
      <w:pPr>
        <w:ind w:left="38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Revolving Credit Facility contains a financial covenant, which requires that, solely if we elect to remove the Availability Block, then the Borrowers must maintain a minimum fixed charge coverage ratio of not less than 1.00:1.00. The financial covenant, if triggered, is tested monthly. The financial covenant was not triggered as of September 30,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380" w:hanging="372"/>
        <w:spacing w:after="0" w:line="255" w:lineRule="auto"/>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previously issued at par an aggregate total of $700 million principal value of our Senior Secured Notes due 2028 (“Senior Secured Notes”). The Senior Secured Notes, which mature in October 2028, bear interest at a rate of 6.25% paid in arrears on May 15 and October 15 of each year. From time to time, we have engaged in open market repurchases to extinguish a portion of the outstanding balance. We did not repurchase any of our Senior Secured Notes during the three and nine months ended September 30, 2026. During the nine months ended September 30, 2025, we repurchased $32.4 million in principal amount of our Senior Secured Notes for approximately $32.1 million, which was accounted for as an extinguishment of debt. Including our write-off of the associated remaining portion of unamortized debt issuance costs, we recognized a loss on extinguishment of debt of approximately $0.1 million.</w:t>
      </w:r>
    </w:p>
    <w:p>
      <w:pPr>
        <w:spacing w:after="0" w:line="80"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Finance leases consist primarily of leases on railcars.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Natural Gas Purchase Commitments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of our natural gas contracts qualify for the NPNS exception under U.S. GAAP and thus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not financial instruments for which we mark-to-market. At September 30, 2026, these contracts included volume purchase commitments with fixed prices of approximately 1.5 million MMBtu of natural gas that cover a period from October 2026 through January 2027. The weighted-average price of the natural gas covered by these contracts was $3.23 per MMBtu, for a total of $4.7 million. Based on strip prices, the weighted-average market price of the fixed contracts was $3.10 per MMBtu for a total of $4.5 million. </w:t>
      </w:r>
      <w:r>
        <w:rPr>
          <w:rFonts w:ascii="Times New Roman" w:cs="Times New Roman" w:eastAsia="Times New Roman" w:hAnsi="Times New Roman"/>
          <w:sz w:val="18"/>
          <w:szCs w:val="18"/>
          <w:color w:val="242424"/>
        </w:rPr>
        <w:t>From time to time, when we exceed the funding threshold in our natural gas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commitments, we are required to fund cash collateral to our counterparty. </w:t>
      </w:r>
      <w:r>
        <w:rPr>
          <w:rFonts w:ascii="Times New Roman" w:cs="Times New Roman" w:eastAsia="Times New Roman" w:hAnsi="Times New Roman"/>
          <w:sz w:val="18"/>
          <w:szCs w:val="18"/>
          <w:color w:val="000000"/>
        </w:rPr>
        <w:t>As of September 30, 2026, we had no counterparty cash collateral funding</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Legal Matters - </w:t>
      </w:r>
      <w:r>
        <w:rPr>
          <w:rFonts w:ascii="Times New Roman" w:cs="Times New Roman" w:eastAsia="Times New Roman" w:hAnsi="Times New Roman"/>
          <w:sz w:val="18"/>
          <w:szCs w:val="18"/>
          <w:color w:val="auto"/>
        </w:rPr>
        <w:t>The 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Environmental Matters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claims for damages to persons or property, including natural resources, may result from the environmental, health and safety effects of our operations.</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our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2026, our accrued liabilities for environmental matters totaled approximately $0.4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Discharge Water Matters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agencies as authorized and overseen by the United States Environmental Protection Agency (the “EPA”). These permits limit the type and volume of effluents that can be discharged and control the method of such discharge.</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2017, the Company filed a Permit Renewal Application for its Non-Hazardous Injection Well Permit at the Pryor Facility. Although the Injection Well Permit expired in 2018, we continue to operate the injection well in accordance with an executed November 2023 Consent Order with the Oklahoma Department of Environmental Quality (“ODEQ”) that allows for the continued use of the injection well until a wastewater treatment process is designed, built and operational. The Company continues to work with the ODEQ under the terms of the Consent Order to evaluate options for treatment and/or disposal of the wastewater at the Pryor Facility.</w:t>
      </w:r>
    </w:p>
    <w:p>
      <w:pPr>
        <w:spacing w:after="0" w:line="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2006, the Company entered into a Consent Administrative Order (“CAO”) that recognizes the presence of nitrate contamination in the shallow groundwater at our El Dorado Facility. The CAO required us to perform semi-annual groundwater monitoring, continue operation of a groundwater recovery system, submit a human health and ecological risk assessment and submit a remedial action plan. The risk assessment was submitted in 2007. In 2015, the Arkansas Department of Environmental Quality (“ADEQ”) stated that the El Dorado Facility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We continue to comply with the terms of the CAO, including the submission of periodic monitoring reports.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Other Environmental Matters</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the successor to a prior owner of the Hallowell Facility, Chevron Environmental Management Company (“Chevron”)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periodic review with the KDHE. At this time there is no review scheduled.</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Other Pending, Threatened or Settled Litigation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and Payment Bonds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2026, we have agreed to indemnify the sureties for payments, up to $10.2 million, made by them in respect of such bonds.</w:t>
      </w:r>
    </w:p>
    <w:p>
      <w:pPr>
        <w:spacing w:after="0" w:line="64" w:lineRule="exact"/>
        <w:rPr>
          <w:sz w:val="20"/>
          <w:szCs w:val="20"/>
          <w:color w:val="auto"/>
        </w:rPr>
      </w:pPr>
    </w:p>
    <w:p>
      <w:pPr>
        <w:jc w:val="both"/>
        <w:ind w:left="200" w:right="9300" w:hanging="192"/>
        <w:spacing w:after="0" w:line="400" w:lineRule="auto"/>
        <w:tabs>
          <w:tab w:leader="none" w:pos="193"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Instruments Natural Gas Contracts</w:t>
      </w: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Periodically, we enter into certain forward natural gas contracts or volume purchase commitments, which are derivatives. We utilize these natural gas contracts as economic hedges for risk management purposes, but the contracts are not designated as hedging instruments for accounting purposes. At September 30, 2026 and December 31, 2025, we had no outstanding forward natural gas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contracts or volume purchase commitments accounted for as derivatives. When present in the past, the valuations of the natural gas contracts were classified as a Level 2 fair value measurement.</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September 30, 2026 and December 31, 2025, we did not have any financial instruments with fair values materially different from their carrying amounts (which excludes issuance costs, if applicable) except for our Senior Secured Notes. Fair value of our Senior Secured Notes is classified as a Level 2 fair value measurement while the treasury securities that comprise our short-term investments are a Level 1 fair value measurement. The fair value of financial instruments is not indicative of the overall fair value of our assets and liabilities since financial instruments do not include all assets, including intangibles, and all liabilities.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2"/>
        </w:trPr>
        <w:tc>
          <w:tcPr>
            <w:tcW w:w="3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3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Millions)</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370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Senior Secured Notes </w:t>
            </w:r>
            <w:r>
              <w:rPr>
                <w:rFonts w:ascii="Times New Roman" w:cs="Times New Roman" w:eastAsia="Times New Roman" w:hAnsi="Times New Roman"/>
                <w:sz w:val="21"/>
                <w:szCs w:val="21"/>
                <w:color w:val="auto"/>
                <w:vertAlign w:val="superscript"/>
              </w:rPr>
              <w:t>(1)</w:t>
            </w:r>
          </w:p>
        </w:tc>
        <w:tc>
          <w:tcPr>
            <w:tcW w:w="2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429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436</w:t>
            </w: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166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w:t>
            </w:r>
          </w:p>
        </w:tc>
      </w:tr>
      <w:tr>
        <w:trPr>
          <w:trHeight w:val="104"/>
        </w:trPr>
        <w:tc>
          <w:tcPr>
            <w:tcW w:w="3700" w:type="dxa"/>
            <w:vAlign w:val="bottom"/>
          </w:tcPr>
          <w:p>
            <w:pPr>
              <w:spacing w:after="0"/>
              <w:rPr>
                <w:sz w:val="20"/>
                <w:szCs w:val="20"/>
                <w:color w:val="auto"/>
              </w:rPr>
            </w:pPr>
            <w:r>
              <w:rPr>
                <w:rFonts w:ascii="Times New Roman" w:cs="Times New Roman" w:eastAsia="Times New Roman" w:hAnsi="Times New Roman"/>
                <w:sz w:val="8"/>
                <w:szCs w:val="8"/>
                <w:color w:val="auto"/>
              </w:rPr>
              <w:t>_____________________________</w:t>
            </w: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80"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a quoted price of 97.8 at September 30, 2026 and 99.5 at December 31, 2025. Also see discussion in Note 4 (B).</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360" w:type="dxa"/>
            <w:vAlign w:val="bottom"/>
          </w:tcPr>
          <w:p>
            <w:pPr>
              <w:spacing w:after="0"/>
              <w:rPr>
                <w:sz w:val="12"/>
                <w:szCs w:val="12"/>
                <w:color w:val="auto"/>
              </w:rPr>
            </w:pPr>
          </w:p>
        </w:tc>
        <w:tc>
          <w:tcPr>
            <w:tcW w:w="106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6"/>
        </w:trPr>
        <w:tc>
          <w:tcPr>
            <w:tcW w:w="4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r>
      <w:tr>
        <w:trPr>
          <w:trHeight w:val="210"/>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w:t>
            </w: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1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r>
      <w:tr>
        <w:trPr>
          <w:trHeight w:val="210"/>
        </w:trPr>
        <w:tc>
          <w:tcPr>
            <w:tcW w:w="4360" w:type="dxa"/>
            <w:vAlign w:val="bottom"/>
            <w:tcBorders>
              <w:right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36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5,160</w:t>
            </w:r>
          </w:p>
        </w:tc>
        <w:tc>
          <w:tcPr>
            <w:tcW w:w="11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2,244</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7,575</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3,019</w:t>
            </w:r>
          </w:p>
        </w:tc>
      </w:tr>
      <w:tr>
        <w:trPr>
          <w:trHeight w:val="216"/>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r>
      <w:tr>
        <w:trPr>
          <w:trHeight w:val="210"/>
        </w:trPr>
        <w:tc>
          <w:tcPr>
            <w:tcW w:w="436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Deferred</w:t>
            </w:r>
          </w:p>
        </w:tc>
        <w:tc>
          <w:tcPr>
            <w:tcW w:w="10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5,215</w:t>
            </w:r>
          </w:p>
        </w:tc>
        <w:tc>
          <w:tcPr>
            <w:tcW w:w="11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2,402</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967</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3,113</w:t>
            </w:r>
          </w:p>
        </w:tc>
      </w:tr>
      <w:tr>
        <w:trPr>
          <w:trHeight w:val="20"/>
        </w:trPr>
        <w:tc>
          <w:tcPr>
            <w:tcW w:w="4360" w:type="dxa"/>
            <w:vAlign w:val="bottom"/>
            <w:tcBorders>
              <w:right w:val="single" w:sz="8" w:color="CFF0FC"/>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0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5,543</w:t>
            </w:r>
          </w:p>
        </w:tc>
        <w:tc>
          <w:tcPr>
            <w:tcW w:w="11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1,496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3,337</w:t>
            </w:r>
          </w:p>
        </w:tc>
      </w:tr>
      <w:tr>
        <w:trPr>
          <w:trHeight w:val="20"/>
        </w:trPr>
        <w:tc>
          <w:tcPr>
            <w:tcW w:w="4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-1019810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-1019810</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-1019810</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-170815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tax provision for the nine months ended September 30, 2026, was $1.5 million (4.8% expense on pre-tax income). The tax provision for the nine months ended September 30, 2025, was $3.3 million (28.2% provision on pre-tax income). For 2026, the effective tax rate was lower than the statutory tax rate primarily due to the release of state valuation allowances described below, partially offset by nondeductible compensation expense. For 2025, the effective tax rate was higher than the statutory tax rate primarily due to nondeductible compensation expense and state taxes.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first quarter of 2026, our results of operations and expected results for the remainder of 2026 and future years significantly improved compared to our prior year-end forecast, primarily due to a favorable shift in pricing conditions across our product portfolio resulting from global supply constraints. This improvement supported the inclusion of future taxable income in our quarterly analysis of the four sources of taxable income and represented a change in the weight of positive evidence relative to the negative evidence that had existed at year-end. As a result of this change, we recognized a discrete income tax benefit of $6.2 million during the first quarter of 2026, representing the release of a portion of our beginning-of-year state valuation allowances. As of September 30, 2026, our remaining state valuation allowance of $7.9 million relates to net operating loss carryforwards and interest expense limitation carryforwards in certain states.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condensed consolidated financial statements. Changes in existing tax laws could also affect actual tax results and the realization of deferred tax assets over time.</w:t>
      </w:r>
    </w:p>
    <w:p>
      <w:pPr>
        <w:spacing w:after="0" w:line="7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LSB Industries, Inc. and certain of its subsidiaries file income tax returns in the U.S. federal jurisdiction and various state jurisdictions. With few exceptions, the 2022-2025 years remain open for all purposes of examination by the U.S. Internal Revenue Service and other major tax jurisdictions. Additionally, the 2015-2020 years remain subject to examination for determining the amount of net operating loss and other carryforwards.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primarily derive our revenues from the sales of various chemical products. The Company’s net sales disaggregation is consistent with other financial information utilized or provided outside of our condensed consolidated financial statements. Accordingly, this approach is reflected in disaggregated net sales, mirroring how the Company manages its net sales by product through contracts with customers.</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net sales disaggregated by our products, which disaggregation is consistent with other financial information utilized or provided outside of our condensed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4"/>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3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AN &amp; Nitric Acid</w:t>
            </w:r>
          </w:p>
        </w:tc>
        <w:tc>
          <w:tcPr>
            <w:tcW w:w="196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80,946</w:t>
            </w:r>
          </w:p>
        </w:tc>
        <w:tc>
          <w:tcPr>
            <w:tcW w:w="11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57,522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225,832</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176,847</w:t>
            </w: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20,206</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51,423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131,865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147,550</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Ammonia</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45,179</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37,072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107,504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97,174</w:t>
            </w: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12,271</w:t>
            </w: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9,414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30,980</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28,588</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9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158,602</w:t>
            </w:r>
          </w:p>
        </w:tc>
        <w:tc>
          <w:tcPr>
            <w:tcW w:w="11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9"/>
              </w:rPr>
              <w:t>155,431</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496,181</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450,159</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-24765</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-8255</wp:posOffset>
            </wp:positionV>
            <wp:extent cx="93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our contracts with a duration greater than one year at contract inception, the average remaining expected duration was approximately 31 months at September 30, 2026.</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Liabilities associated with contracts with customers (contract liabilities) primarily relate to deferred revenue and customer deposits associated with cash payments received in advance from customers for product shipments.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contract liabilities as of September 30, 2026 were approximately $0.6 million. Our contract liabilities were not material as of December 31, 2025. For the three and nine months ended September 30, 2026, revenues recognized from contract liabilities included in the balances as of June 30, 2026 and December 31, 2025, respectively, were not material. For the three and nine months ended September 30, 2025, we recognized revenues of $0.1 million and $1.1 million, respectively, from amounts included in contract liabilities as of June 30, 2025 and December 31, 2024, respectively. Our contract assets consist of unconditional rights to payment from our customers, which are reflected as accounts receivable in our condensed consolidated balance sheets.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most of our contracts with customers, the transaction price from the inception of a contract is limited to a short period of time (generally one month), as these contracts contain terms with variable consideration related to both price and quantity. At September 30, 2026, we had remaining performance obligations with certain customer contracts, excluding contracts with original durations of less than one year and for service contracts for which we have elected the practical expedient for consideration recognized in revenue as invoiced. As of September 30, 2026, the remaining performance obligations totaled approximately $145.6 million, of which approximately 63% relates to 2026 through 2028, approximately 22% relates to 2029 through 2030, with the remainder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Supplemental Cash Flow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additional information relating to cash flow activities: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 (refunds/reduction) for:</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on long-term debt and other</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1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interest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(1,420)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w:t>
            </w: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net</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acquired and not yet paid at end of period</w:t>
            </w: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25,978</w:t>
            </w:r>
          </w:p>
        </w:tc>
        <w:tc>
          <w:tcPr>
            <w:tcW w:w="1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100" w:type="dxa"/>
            <w:vAlign w:val="bottom"/>
            <w:shd w:val="clear" w:color="auto" w:fill="CFF0FC"/>
          </w:tcPr>
          <w:p>
            <w:pPr>
              <w:spacing w:after="0"/>
              <w:rPr>
                <w:sz w:val="18"/>
                <w:szCs w:val="18"/>
                <w:color w:val="auto"/>
              </w:rPr>
            </w:pPr>
          </w:p>
        </w:tc>
      </w:tr>
      <w:tr>
        <w:trPr>
          <w:trHeight w:val="234"/>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managed on a consolidated basis with a single reportable segment, chemical manufacturing, which is not an aggregation of individual operating segments. There have been no changes in the basis of segmentation or in the basis of measurement of segment profit or loss since the filing of our 2025 Form 10-K. Information about reported segment revenue, measures of a segment’s profit or loss, significant segment expenses, and measure of a segment's assets: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2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47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3"/>
          </w:tcPr>
          <w:p>
            <w:pPr>
              <w:ind w:left="1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6"/>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$158,602</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$155,431</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$496,181</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$450,159</w:t>
            </w: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8"/>
        </w:trPr>
        <w:tc>
          <w:tcPr>
            <w:tcW w:w="47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Cost of sales excluding depreciation, amortization</w:t>
            </w: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34"/>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and turnaround expense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86,968</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109,453</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301,872</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321,310</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19,348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60,027</w:t>
            </w:r>
          </w:p>
        </w:tc>
      </w:tr>
      <w:tr>
        <w:trPr>
          <w:trHeight w:val="216"/>
        </w:trPr>
        <w:tc>
          <w:tcPr>
            <w:tcW w:w="4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Turnaround expense</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38,964</w:t>
            </w:r>
          </w:p>
        </w:tc>
        <w:tc>
          <w:tcPr>
            <w:tcW w:w="1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w:t>
            </w:r>
          </w:p>
        </w:tc>
      </w:tr>
      <w:tr>
        <w:trPr>
          <w:trHeight w:val="210"/>
        </w:trPr>
        <w:tc>
          <w:tcPr>
            <w:tcW w:w="4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 of sales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129,888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405,824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387,059</w:t>
            </w:r>
          </w:p>
        </w:tc>
      </w:tr>
      <w:tr>
        <w:trPr>
          <w:trHeight w:val="209"/>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Wages and benefits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18,210</w:t>
            </w:r>
          </w:p>
        </w:tc>
      </w:tr>
      <w:tr>
        <w:trPr>
          <w:trHeight w:val="216"/>
        </w:trPr>
        <w:tc>
          <w:tcPr>
            <w:tcW w:w="4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w:t>
            </w:r>
          </w:p>
        </w:tc>
      </w:tr>
      <w:tr>
        <w:trPr>
          <w:trHeight w:val="21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41,520</w:t>
            </w:r>
          </w:p>
        </w:tc>
        <w:tc>
          <w:tcPr>
            <w:tcW w:w="1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30,330</w:t>
            </w:r>
          </w:p>
        </w:tc>
      </w:tr>
      <w:tr>
        <w:trPr>
          <w:trHeight w:val="210"/>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23,313</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PP&amp;E write-downs and disposals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3,337</w:t>
            </w:r>
          </w:p>
        </w:tc>
      </w:tr>
      <w:tr>
        <w:trPr>
          <w:trHeight w:val="216"/>
        </w:trPr>
        <w:tc>
          <w:tcPr>
            <w:tcW w:w="4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segment income, net (a)</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21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net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8,481</w:t>
            </w:r>
          </w:p>
        </w:tc>
      </w:tr>
      <w:tr>
        <w:trPr>
          <w:trHeight w:val="210"/>
        </w:trPr>
        <w:tc>
          <w:tcPr>
            <w:tcW w:w="478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net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-2128520</wp:posOffset>
            </wp:positionV>
            <wp:extent cx="93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-2128520</wp:posOffset>
            </wp:positionV>
            <wp:extent cx="939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-2128520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-1562735</wp:posOffset>
            </wp:positionV>
            <wp:extent cx="939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-1562735</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-1562735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-722630</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-722630</wp:posOffset>
            </wp:positionV>
            <wp:extent cx="939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-722630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-156845</wp:posOffset>
            </wp:positionV>
            <wp:extent cx="93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-156845</wp:posOffset>
            </wp:positionV>
            <wp:extent cx="93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-156845</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-10795</wp:posOffset>
            </wp:positionV>
            <wp:extent cx="41059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05910"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8"/>
          <w:szCs w:val="8"/>
          <w:color w:val="auto"/>
        </w:rPr>
        <w:t>_____________________________</w:t>
      </w:r>
    </w:p>
    <w:p>
      <w:pPr>
        <w:spacing w:after="0"/>
        <w:rPr>
          <w:sz w:val="20"/>
          <w:szCs w:val="20"/>
          <w:color w:val="auto"/>
        </w:rPr>
      </w:pPr>
      <w:r>
        <w:rPr>
          <w:rFonts w:ascii="Times New Roman" w:cs="Times New Roman" w:eastAsia="Times New Roman" w:hAnsi="Times New Roman"/>
          <w:sz w:val="14"/>
          <w:szCs w:val="14"/>
          <w:color w:val="auto"/>
        </w:rPr>
        <w:t>(a) For the periods presented, amount consisted primarily of interest income.</w:t>
      </w:r>
    </w:p>
    <w:p>
      <w:pPr>
        <w:spacing w:after="0" w:line="3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measure of our chemical manufacturing segment assets is reported on the condensed consolidated balance sheet as total assets. Expenditures for long-lived chemical manufacturing segment assets are reported on our condensed consolidated statement of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Asset Acquisition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18, 2026, we acquired full ownership of the carbon capture and sequestration project currently underway at our El Dorado, Arkansas facility (the “Project”) from Lapis Carbon Solutions. The total purchase price and remaining completion capital associated with the Project are estimated at approximately $95 million. The acquisition was accounted for as an asset acquisition.</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purchase and sale agreement for the acquisition, the contingent purchase consideration becomes payable in three separate installments upon achievement of three defined Project milestones and completion activities, none of which had occurred as of September 30, 2026. No amount of the purchase price was paid during the three and nine months ended September 30, 2026. As of September 30, 2026, management concluded that the contractual conditions giving rise to the contingent purchase consideration had not met the applicable recognition criteria. Accordingly, no liability for the contingent purchase consideration has been recognized as of September 30, 2026.</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continue to incur development and construction costs associated with the Project, which are capitalized as incurred in accordance with the Company’s accounting policies. For the three and nine months ended September 30, 2026, our cash expenditures on the Project were $13.3 million and $24.1 million, respectively. These amounts did not include any portion of the acquisition purchase price. We will recognize the contingent purchase consideration as an additional cost of the acquired assets when payment becomes probable and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discussion is intended to provide a reader of our financial statements with management’s perspective on our financial condition, results of operations, liquidity, and certain other factors that may affect our future results. Investors should read the following discussion and analysis in conjunction with the condensed consolidated financial statements and related notes included in “</w:t>
      </w:r>
      <w:r>
        <w:rPr>
          <w:rFonts w:ascii="Times New Roman" w:cs="Times New Roman" w:eastAsia="Times New Roman" w:hAnsi="Times New Roman"/>
          <w:sz w:val="18"/>
          <w:szCs w:val="18"/>
          <w:i w:val="1"/>
          <w:iCs w:val="1"/>
          <w:color w:val="auto"/>
        </w:rPr>
        <w:t>Item 1. Financial Statements</w:t>
      </w:r>
      <w:r>
        <w:rPr>
          <w:rFonts w:ascii="Times New Roman" w:cs="Times New Roman" w:eastAsia="Times New Roman" w:hAnsi="Times New Roman"/>
          <w:sz w:val="18"/>
          <w:szCs w:val="18"/>
          <w:color w:val="auto"/>
        </w:rPr>
        <w:t>.” Notes referenced in this discussion and analysis refer to the notes to condensed consolidated financial statements that are found in “</w:t>
      </w:r>
      <w:r>
        <w:rPr>
          <w:rFonts w:ascii="Times New Roman" w:cs="Times New Roman" w:eastAsia="Times New Roman" w:hAnsi="Times New Roman"/>
          <w:sz w:val="18"/>
          <w:szCs w:val="18"/>
          <w:i w:val="1"/>
          <w:iCs w:val="1"/>
          <w:color w:val="auto"/>
        </w:rPr>
        <w:t>Item 1. Financial Statements—Notes to Condensed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Certain statements contained in this discussion may be deemed to be forward-looking statements.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Actual results could differ materially from those discussed in or implied by forward-looking statements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factors, including those discussed below and in our Annual Report on Form 10-K for the year ended December 31, 2025, particularly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Unless we state otherwise or the context otherwise requires, the terms “LSB,” “we,” “us,” “our” and the “Company” refer to LSB Industries, Inc. and its consolidated subsidiaries.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LSB is headquartered in Oklahoma City, Oklahoma and we manufacture and sell chemical products for the agricultural and industrial markets. We own and operate three multi-plant facilities in Cherokee, Alabama (the “Cherokee Facility”), El Dorado, Arkansas (the “El Dorado Facility”) and Pryor, Oklahoma (the “Pryor Facility”) and operate a facility on behalf of Covestro LLC in Baytown, Texas. Our products are sold through distributors and directly to end customers primarily throughout the United States and other parts of North America.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Initiatives for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future results of operations and financial condition to benefit from the following key initiatives:</w:t>
      </w:r>
    </w:p>
    <w:p>
      <w:pPr>
        <w:spacing w:after="0" w:line="115" w:lineRule="exact"/>
        <w:rPr>
          <w:sz w:val="20"/>
          <w:szCs w:val="20"/>
          <w:color w:val="auto"/>
        </w:rPr>
      </w:pPr>
    </w:p>
    <w:p>
      <w:pPr>
        <w:ind w:left="1020" w:right="38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 to Improve Environmental, Health &amp; Safety at our Facilities. </w:t>
      </w:r>
      <w:r>
        <w:rPr>
          <w:rFonts w:ascii="Times New Roman" w:cs="Times New Roman" w:eastAsia="Times New Roman" w:hAnsi="Times New Roman"/>
          <w:sz w:val="18"/>
          <w:szCs w:val="18"/>
          <w:color w:val="auto"/>
        </w:rPr>
        <w:t>We prioritize high safety standards that not only enable us to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what matters, which is the well-being of our employees, but also translates into improved plant performance. We remain focused on our safety programs to move closer to attaining zero injuries. We continue to invest additional capital across our facilities to build upon the progress we have made in implementing enhanced safety programs during the last several years.</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 the Reliability at our Facilities while Supplying our Customers with Products of the Highest Quality. </w:t>
      </w:r>
      <w:r>
        <w:rPr>
          <w:rFonts w:ascii="Times New Roman" w:cs="Times New Roman" w:eastAsia="Times New Roman" w:hAnsi="Times New Roman"/>
          <w:sz w:val="18"/>
          <w:szCs w:val="18"/>
          <w:color w:val="auto"/>
        </w:rPr>
        <w:t>Improving the reliability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while supplying customers with high-quality products remains a key operational focus. We have several initiatives underway aimed at increasing production volumes of ammonia and downstream products through improved operational execution and asset reliability.</w:t>
      </w:r>
    </w:p>
    <w:p>
      <w:pPr>
        <w:ind w:left="102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these areas is expected to support higher available production and improved unit cost performance over time, while we continue to maintain a strong focus on product quality and customer requirements.</w:t>
      </w:r>
    </w:p>
    <w:p>
      <w:pPr>
        <w:spacing w:after="0" w:line="84" w:lineRule="exact"/>
        <w:rPr>
          <w:rFonts w:ascii="Times New Roman" w:cs="Times New Roman" w:eastAsia="Times New Roman" w:hAnsi="Times New Roman"/>
          <w:sz w:val="18"/>
          <w:szCs w:val="18"/>
          <w:color w:val="auto"/>
        </w:rPr>
      </w:pPr>
    </w:p>
    <w:p>
      <w:pPr>
        <w:ind w:left="1260" w:right="20" w:hanging="368"/>
        <w:spacing w:after="0" w:line="267" w:lineRule="auto"/>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Turnaround Excellence: </w:t>
      </w:r>
      <w:r>
        <w:rPr>
          <w:rFonts w:ascii="Times New Roman" w:cs="Times New Roman" w:eastAsia="Times New Roman" w:hAnsi="Times New Roman"/>
          <w:sz w:val="18"/>
          <w:szCs w:val="18"/>
          <w:color w:val="auto"/>
        </w:rPr>
        <w:t>We will continue to focus on the safe and effective execution of scheduled Turnarounds, with an emphasis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adherence, cost control, and minimizing operational risk. We will continue to apply our standardized Turnaround management practices across all sites, including our revised Turnaround standardization, to support consistent execution and long-term asset reliability.</w:t>
      </w:r>
    </w:p>
    <w:p>
      <w:pPr>
        <w:spacing w:after="0" w:line="67" w:lineRule="exact"/>
        <w:rPr>
          <w:rFonts w:ascii="Times New Roman" w:cs="Times New Roman" w:eastAsia="Times New Roman" w:hAnsi="Times New Roman"/>
          <w:sz w:val="18"/>
          <w:szCs w:val="18"/>
          <w:color w:val="auto"/>
        </w:rPr>
      </w:pPr>
    </w:p>
    <w:p>
      <w:pPr>
        <w:ind w:left="2020" w:right="60" w:hanging="379"/>
        <w:spacing w:after="0" w:line="261" w:lineRule="auto"/>
        <w:tabs>
          <w:tab w:leader="none" w:pos="2020" w:val="left"/>
        </w:tabs>
        <w:numPr>
          <w:ilvl w:val="2"/>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successfully completed an extensive and complex Turnaround of our El Dorado ammonia plant during the second quarter of 2026. We also initiated Turnaround work at our Pryor Facility late in the second quarter of 2026, completing the work early in the third quarter. Planning is now currently underway for Turnaround activity at our Cherokee location, which is expected to begin in the third quarter of 2027.</w:t>
      </w:r>
    </w:p>
    <w:p>
      <w:pPr>
        <w:spacing w:after="0" w:line="69" w:lineRule="exact"/>
        <w:rPr>
          <w:rFonts w:ascii="MS PGothic" w:cs="MS PGothic" w:eastAsia="MS PGothic" w:hAnsi="MS PGothic"/>
          <w:sz w:val="18"/>
          <w:szCs w:val="18"/>
          <w:color w:val="auto"/>
        </w:rPr>
      </w:pPr>
    </w:p>
    <w:p>
      <w:pPr>
        <w:ind w:left="1260" w:right="60" w:hanging="368"/>
        <w:spacing w:after="0" w:line="284" w:lineRule="auto"/>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Mechanical Integrity: </w:t>
      </w:r>
      <w:r>
        <w:rPr>
          <w:rFonts w:ascii="Times New Roman" w:cs="Times New Roman" w:eastAsia="Times New Roman" w:hAnsi="Times New Roman"/>
          <w:sz w:val="18"/>
          <w:szCs w:val="18"/>
          <w:color w:val="auto"/>
        </w:rPr>
        <w:t>We will continue to enhance mechanical integrity through ongoing refinement of our inspection programs,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 of reducing fixed equipment failures and unplanned downtime.</w:t>
      </w:r>
    </w:p>
    <w:p>
      <w:pPr>
        <w:spacing w:after="0" w:line="50" w:lineRule="exact"/>
        <w:rPr>
          <w:rFonts w:ascii="Times New Roman" w:cs="Times New Roman" w:eastAsia="Times New Roman" w:hAnsi="Times New Roman"/>
          <w:sz w:val="18"/>
          <w:szCs w:val="18"/>
          <w:color w:val="auto"/>
        </w:rPr>
      </w:pPr>
    </w:p>
    <w:p>
      <w:pPr>
        <w:ind w:left="1260" w:right="740" w:hanging="368"/>
        <w:spacing w:after="0" w:line="284" w:lineRule="auto"/>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Asset Care Strategies: </w:t>
      </w:r>
      <w:r>
        <w:rPr>
          <w:rFonts w:ascii="Times New Roman" w:cs="Times New Roman" w:eastAsia="Times New Roman" w:hAnsi="Times New Roman"/>
          <w:sz w:val="18"/>
          <w:szCs w:val="18"/>
          <w:color w:val="auto"/>
        </w:rPr>
        <w:t>We will continue to advance our machinery and asset care strategies, with a focus on reducing unplanned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downtime, optimizing the scope and duration of planned outages, and improving the effectiveness of startup operations.</w:t>
      </w:r>
    </w:p>
    <w:p>
      <w:pPr>
        <w:spacing w:after="0" w:line="50" w:lineRule="exact"/>
        <w:rPr>
          <w:rFonts w:ascii="Times New Roman" w:cs="Times New Roman" w:eastAsia="Times New Roman" w:hAnsi="Times New Roman"/>
          <w:sz w:val="18"/>
          <w:szCs w:val="18"/>
          <w:color w:val="auto"/>
        </w:rPr>
      </w:pPr>
    </w:p>
    <w:p>
      <w:pPr>
        <w:ind w:left="1260" w:right="580" w:hanging="368"/>
        <w:spacing w:after="0" w:line="284" w:lineRule="auto"/>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Culture of Excellence</w:t>
      </w:r>
      <w:r>
        <w:rPr>
          <w:rFonts w:ascii="Times New Roman" w:cs="Times New Roman" w:eastAsia="Times New Roman" w:hAnsi="Times New Roman"/>
          <w:sz w:val="18"/>
          <w:szCs w:val="18"/>
          <w:color w:val="auto"/>
        </w:rPr>
        <w:t>: We will continue to strengthen operational discipline and accountability across the organization, supporting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productivity and overall operational reliability.</w:t>
      </w:r>
    </w:p>
    <w:p>
      <w:pPr>
        <w:spacing w:after="0" w:line="50" w:lineRule="exact"/>
        <w:rPr>
          <w:rFonts w:ascii="Times New Roman" w:cs="Times New Roman" w:eastAsia="Times New Roman" w:hAnsi="Times New Roman"/>
          <w:sz w:val="18"/>
          <w:szCs w:val="18"/>
          <w:color w:val="auto"/>
        </w:rPr>
      </w:pPr>
    </w:p>
    <w:p>
      <w:pPr>
        <w:jc w:val="both"/>
        <w:ind w:left="1020" w:right="22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Productivity Improvement. </w:t>
      </w:r>
      <w:r>
        <w:rPr>
          <w:rFonts w:ascii="Times New Roman" w:cs="Times New Roman" w:eastAsia="Times New Roman" w:hAnsi="Times New Roman"/>
          <w:sz w:val="18"/>
          <w:szCs w:val="18"/>
          <w:color w:val="auto"/>
        </w:rPr>
        <w:t>We are accelerating productivity improvements through a comprehensive focus on fixed and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optimization, procurement-driven savings, automation, and process changes with multiple initiatives underway to identify, assess, and pursue cost-reduction opportunities.</w:t>
      </w:r>
    </w:p>
    <w:p>
      <w:pPr>
        <w:spacing w:after="0" w:line="65" w:lineRule="exact"/>
        <w:rPr>
          <w:rFonts w:ascii="Times New Roman" w:cs="Times New Roman" w:eastAsia="Times New Roman" w:hAnsi="Times New Roman"/>
          <w:sz w:val="18"/>
          <w:szCs w:val="18"/>
          <w:color w:val="auto"/>
        </w:rPr>
      </w:pPr>
    </w:p>
    <w:p>
      <w:pPr>
        <w:ind w:left="1020" w:right="76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Optimization and Increase the Breadth of Distribution of our Product Mix. </w:t>
      </w:r>
      <w:r>
        <w:rPr>
          <w:rFonts w:ascii="Times New Roman" w:cs="Times New Roman" w:eastAsia="Times New Roman" w:hAnsi="Times New Roman"/>
          <w:sz w:val="18"/>
          <w:szCs w:val="18"/>
          <w:color w:val="auto"/>
        </w:rPr>
        <w:t>We have initiatives underway to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our products within our industrial and agricultural end markets, among other product mix</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ind w:left="1020"/>
        <w:spacing w:after="0" w:line="258" w:lineRule="auto"/>
        <w:rPr>
          <w:sz w:val="20"/>
          <w:szCs w:val="20"/>
          <w:color w:val="auto"/>
        </w:rPr>
      </w:pPr>
      <w:r>
        <w:rPr>
          <w:rFonts w:ascii="Times New Roman" w:cs="Times New Roman" w:eastAsia="Times New Roman" w:hAnsi="Times New Roman"/>
          <w:sz w:val="18"/>
          <w:szCs w:val="18"/>
          <w:color w:val="auto"/>
        </w:rPr>
        <w:t>optimization strategies. We believe that these initiatives and strategies,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while making our financial results more stable and predictable. Additionally, we have completed and are advancing several capital improvement projects with the intention of increasing our sales volumes of higher value downstream products resulting in improvements in our overall profit margins.</w:t>
      </w:r>
    </w:p>
    <w:p>
      <w:pPr>
        <w:spacing w:after="0" w:line="73" w:lineRule="exact"/>
        <w:rPr>
          <w:sz w:val="20"/>
          <w:szCs w:val="20"/>
          <w:color w:val="auto"/>
        </w:rPr>
      </w:pPr>
    </w:p>
    <w:p>
      <w:pPr>
        <w:ind w:left="1020" w:right="20" w:hanging="503"/>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 Our Platform. </w:t>
      </w:r>
      <w:r>
        <w:rPr>
          <w:rFonts w:ascii="Times New Roman" w:cs="Times New Roman" w:eastAsia="Times New Roman" w:hAnsi="Times New Roman"/>
          <w:sz w:val="18"/>
          <w:szCs w:val="18"/>
          <w:color w:val="auto"/>
        </w:rPr>
        <w:t>We continue to evaluate opportunities across all our facilities to increase production capacity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several potential debottlenecking and other margin enhancement projects. Additionally, from time to time, we evaluate opportunities to acquire strategic assets or companies where we believe those acquisitions will enhance our value and provide attractive returns to our stockholders. We also consider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Low Carbon Ammonia Initiatives</w:t>
      </w:r>
    </w:p>
    <w:p>
      <w:pPr>
        <w:spacing w:after="0" w:line="48" w:lineRule="exact"/>
        <w:rPr>
          <w:sz w:val="20"/>
          <w:szCs w:val="20"/>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In May 2026, we reached an agreement to assume full ownership of our project to capture and sequester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at our El Dorado Facility (the “Project”) from Lapis Carbon Solutions (“Lapis”). The milestone-based structure of the agreement aligns our capital deployment with Project advancement, while limiting upfront capital exposure. Completion of the Project and commencement of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injections are conditioned on the U.S. Environmental Protection Agency’s (“EPA”) issuance of our Class VI permit. The EPA’s technical review of our resubmitted application is ongoing. Although the EPA’s published Class VI Permit Tracker currently reflects a potential operational date in the second half of 2027, based on our continued engagement with the EPA’s Region 6 office, we believe an earlier operational date is possible, depending on the timing of the EPA’s completion of its review.</w:t>
      </w:r>
    </w:p>
    <w:p>
      <w:pPr>
        <w:spacing w:after="0" w:line="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Once operational, the Project will initially capture and sequester approximately 400,000 to 500,000 metric tons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per year in underground saline aquifers. The sequestered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is expected to reduce our overall scope 1 GHG emissions by approximately 25% from current levels. In addition, the Project is expected to enable us to produce between 305,000 and 380,000 metric tons per year of low carbon ammonia, a product that could potentially be sold at higher price levels than conventional ammonia.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Project milestones include:</w:t>
      </w:r>
    </w:p>
    <w:p>
      <w:pPr>
        <w:spacing w:after="0" w:line="117" w:lineRule="exact"/>
        <w:rPr>
          <w:sz w:val="20"/>
          <w:szCs w:val="20"/>
          <w:color w:val="auto"/>
        </w:rPr>
      </w:pPr>
    </w:p>
    <w:p>
      <w:pPr>
        <w:ind w:left="1500" w:hanging="36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entered into an agreement with Lapis to develop the Project.</w:t>
      </w:r>
    </w:p>
    <w:p>
      <w:pPr>
        <w:spacing w:after="0" w:line="117" w:lineRule="exact"/>
        <w:rPr>
          <w:rFonts w:ascii="Times New Roman" w:cs="Times New Roman" w:eastAsia="Times New Roman" w:hAnsi="Times New Roman"/>
          <w:sz w:val="18"/>
          <w:szCs w:val="18"/>
          <w:color w:val="auto"/>
        </w:rPr>
      </w:pPr>
    </w:p>
    <w:p>
      <w:pPr>
        <w:ind w:left="1500" w:right="440" w:hanging="369"/>
        <w:spacing w:after="0" w:line="282"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a pre-construction Class VI permit application was filed with the EPA. The EPA recognized the application as complete in March 2023 and is currently in the review process.</w:t>
      </w:r>
    </w:p>
    <w:p>
      <w:pPr>
        <w:spacing w:after="0" w:line="94" w:lineRule="exact"/>
        <w:rPr>
          <w:rFonts w:ascii="Times New Roman" w:cs="Times New Roman" w:eastAsia="Times New Roman" w:hAnsi="Times New Roman"/>
          <w:sz w:val="18"/>
          <w:szCs w:val="18"/>
          <w:color w:val="auto"/>
        </w:rPr>
      </w:pPr>
    </w:p>
    <w:p>
      <w:pPr>
        <w:ind w:left="1500" w:right="40" w:hanging="369"/>
        <w:spacing w:after="0" w:line="258"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announced an agreement to supply, for a five-year period commencing January 1, 2025, up to 150,000 short tons per year of low carbon ammonium nitrate solution (“ANS”) to Freeport Minerals Corporation (“Freeport”). In early 2025, we began supplying conventional ANS to Freeport from our El Dorado Facility and expect to phase-in the low carbon contracted volume in 2027, once the Project is operational. Freeport intends to use the low carbon ANS purchased from us for its United States copper mining operations.</w:t>
      </w:r>
    </w:p>
    <w:p>
      <w:pPr>
        <w:spacing w:after="0" w:line="102" w:lineRule="exact"/>
        <w:rPr>
          <w:rFonts w:ascii="Times New Roman" w:cs="Times New Roman" w:eastAsia="Times New Roman" w:hAnsi="Times New Roman"/>
          <w:sz w:val="18"/>
          <w:szCs w:val="18"/>
          <w:color w:val="auto"/>
        </w:rPr>
      </w:pPr>
    </w:p>
    <w:p>
      <w:pPr>
        <w:ind w:left="1500" w:right="40" w:hanging="369"/>
        <w:spacing w:after="0" w:line="234"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a stratigraphic injection well was drilled at the El Dorado site and data has been gathered to support the EPA in its continuing technical review of our Class VI application. The pre-construction Class VI permit application was resubmitted to the EPA in December 2025. Once the Project receives EPA approval, we intend to use this well for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injections.</w:t>
      </w:r>
    </w:p>
    <w:p>
      <w:pPr>
        <w:spacing w:after="0" w:line="77" w:lineRule="exact"/>
        <w:rPr>
          <w:rFonts w:ascii="Times New Roman" w:cs="Times New Roman" w:eastAsia="Times New Roman" w:hAnsi="Times New Roman"/>
          <w:sz w:val="18"/>
          <w:szCs w:val="18"/>
          <w:color w:val="auto"/>
        </w:rPr>
      </w:pPr>
    </w:p>
    <w:p>
      <w:pPr>
        <w:ind w:left="1500" w:right="80" w:hanging="369"/>
        <w:spacing w:after="0" w:line="254"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2026, we reached an agreement to take full ownership of the Project. The sequestered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generated from the facility's ammonia production is expected to qualify for the enhanced federal tax credit, currently $85 per metric ton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under Internal Revenue Code Section 45Q. Based on expected capture volumes, the Company estimates the Project could generate approximately $25 million to $30 million of annual earnings when fully operational, net of operating costs, over the 12-year credit period, subject to continued qualification. Although the credits are expected to be recognized in earnings as they are earned, the timing of related cash inflows may vary depending on the tax credit monetization method selected. As a result, cash receipts may not coincide with earnings recognition.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Outlook</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Demand for our industrial products remains strong, including demand for Ammonium Nitrate (AN), supported by continued mining-sector investment across North America and globally, as well as broader capital spending tied to AI-related infrastructure, data centers, power generation and electrification. Favorable supply / demand fundamentals, further supported by producer outages, continue to underpin both spot and contract pricing, while new mining and aggregate projects are expected to support medium to longer-term demand for explosives used in copper, iron ore, quarrying and infrastructure-related production.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0" w:name="page21"/>
    <w:bookmarkEnd w:id="20"/>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our industrial business provides a meaningful degree of downside protection from risks associated with economic uncertainty, including those related to tariffs, fluctuating oil and commodity prices, concerns about inflation and the ongoing instability in the Middle East, including the conflict involving the U.S. and Iran. A significant portion of our volumes are already contracted, our customer base is diverse and located almost entirely in the United States, and we have the ability to optimize our product mix. In addition, we expect European marginal cost of production to remain elevated throughout the remainder of 2026, driven primarily by elevated natural gas costs and a tight global market for nitrogen products, particularly as demand for fertilizers in India remains strong and nitrogen exports from China and certain other sources remain constrained.</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fertilizer markets remain constructive, with ongoing geopolitical conflicts, including those in the Middle East and between Ukraine and Russia, continuing to affect international supply, pricing and logistics. Ammonia prices remain elevated relative to historical averages, although they have moderated from first-half highs, due in part to reduced ammonia demand from phosphate producers affected by constrained sulfur supply. As we look forward, we expect higher natural gas prices in Europe will be constructive to pricing. Constrained Urea supplies strengthened Urea pricing during the third quarter, which also improved Urea Ammonium Nitrate (UAN) pricing. We expect fall fertilizer applications to support demand in the fourth quarter. Other notable developments that could impact product pricing include continued attacks affecting Russian nitrogen plants, ports, and ships, and any further escalation of conflicts in the Middle East, including between Saudi Arabia and the Houthis.</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outlook for U.S. corn calls for approximately 96.8 million planted acres of corn for the 2026/2027 marketing season with global ending stocks projected to be at the lowest levels in over a decade supporting improved corn prices. We believe this will support strong fertilizer application rates and we anticipate robust nitrogen demand through the fall 2026 and spring 2027 fertilizer application season.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Industry Factors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Industrial Products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industrial products sales volumes are dependent upon general economic conditions, primarily in the housing, automotive, mining and paper industries. Demand for our industrial products is robust across all commodities, particularly with copper and gold miners as they maximize production to take advantage of strong supply and demand fundamentals.</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LDAN and AN solutions are primarily used to produce AN fuel oil and specialty emulsions for use in explosives in the quarry and the construction industries, for metals mining and to a lesser extent, for coal.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Fertilizer</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a farmer’s perspective, the demand for fertilizer is affected by the aggregate crop planting decisions including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Additionally, changes in corn prices, as well as soybean, cotton and wheat prices, can affect the number of acres of corn planted in a given year and the number of acres planted will drive the level of nitrogen fertilizer consumption, likely affecting fertilizer prices.</w:t>
      </w:r>
    </w:p>
    <w:p>
      <w:pPr>
        <w:spacing w:after="0" w:line="5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According to the World Agricultural Supply and Demand Estimates Report dated October 9, 2026 (the “October Report”), farmers planted approximately 96.8 million acres of corn in the 2026 planting season, down 1.9% compared to the 2025 planting season. According to the October Report, the U.S. Department of Agriculture (“USDA”) estimates the U.S. ending stocks for the 2026 Harvest will be approximately 47.0 million metric tons, an 11.7% decrease from the 2025 Harvest. The USDA's expected yield per acre for the 2026 Harvest is 181.2 bushels, down approximately 2.8% from a year ago.</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October 2026 estimates are associated with the corn market: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2027 Crop</w:t>
            </w:r>
          </w:p>
        </w:tc>
        <w:tc>
          <w:tcPr>
            <w:tcW w:w="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 Crop</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Crop</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 Harvest)</w:t>
            </w: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Harvest)</w:t>
            </w: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Harvest)</w:t>
            </w:r>
          </w:p>
        </w:tc>
        <w:tc>
          <w:tcPr>
            <w:tcW w:w="220" w:type="dxa"/>
            <w:vAlign w:val="bottom"/>
          </w:tcPr>
          <w:p>
            <w:pPr>
              <w:spacing w:after="0"/>
              <w:rPr>
                <w:sz w:val="15"/>
                <w:szCs w:val="15"/>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7"/>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U.S. Area Planted </w:t>
            </w:r>
            <w:r>
              <w:rPr>
                <w:rFonts w:ascii="Times New Roman" w:cs="Times New Roman" w:eastAsia="Times New Roman" w:hAnsi="Times New Roman"/>
                <w:sz w:val="14"/>
                <w:szCs w:val="14"/>
                <w:i w:val="1"/>
                <w:iCs w:val="1"/>
                <w:color w:val="auto"/>
              </w:rPr>
              <w:t>(Million acres)</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Report (1)</w:t>
            </w: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Report (1)</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Change (2)</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Report (1)</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Change (3)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Yield per Acre </w:t>
            </w:r>
            <w:r>
              <w:rPr>
                <w:rFonts w:ascii="Times New Roman" w:cs="Times New Roman" w:eastAsia="Times New Roman" w:hAnsi="Times New Roman"/>
                <w:sz w:val="14"/>
                <w:szCs w:val="14"/>
                <w:i w:val="1"/>
                <w:iCs w:val="1"/>
                <w:color w:val="auto"/>
              </w:rPr>
              <w:t>(Bushels)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6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Production </w:t>
            </w:r>
            <w:r>
              <w:rPr>
                <w:rFonts w:ascii="Times New Roman" w:cs="Times New Roman" w:eastAsia="Times New Roman" w:hAnsi="Times New Roman"/>
                <w:sz w:val="14"/>
                <w:szCs w:val="14"/>
                <w:i w:val="1"/>
                <w:iCs w:val="1"/>
                <w:color w:val="auto"/>
              </w:rPr>
              <w:t>(Million bushels)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16,964</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Ending Stocks </w:t>
            </w:r>
            <w:r>
              <w:rPr>
                <w:rFonts w:ascii="Times New Roman" w:cs="Times New Roman" w:eastAsia="Times New Roman" w:hAnsi="Times New Roman"/>
                <w:sz w:val="14"/>
                <w:szCs w:val="14"/>
                <w:i w:val="1"/>
                <w:iCs w:val="1"/>
                <w:color w:val="auto"/>
              </w:rPr>
              <w:t>(Million metric tons)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World Ending Stocks </w:t>
            </w:r>
            <w:r>
              <w:rPr>
                <w:rFonts w:ascii="Times New Roman" w:cs="Times New Roman" w:eastAsia="Times New Roman" w:hAnsi="Times New Roman"/>
                <w:sz w:val="14"/>
                <w:szCs w:val="14"/>
                <w:i w:val="1"/>
                <w:iCs w:val="1"/>
                <w:color w:val="auto"/>
              </w:rPr>
              <w:t>(Million metric tons)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60" w:right="100" w:hanging="378"/>
        <w:spacing w:after="0" w:line="255"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obtained from the October Report for the 2026/2027 (“2027 Crop”), 2025/2026 (“2026 Crop”) and 2024/2025 (“2025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change between the 2027 Crop amounts compared to the 2026 Crop amounts.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change between the 2027 Crop amounts compared to the 2025 Crop amounts.</w:t>
      </w:r>
    </w:p>
    <w:p>
      <w:pPr>
        <w:spacing w:after="0" w:line="9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current USDA corn outlook compared to the prior report for the U.S. is for larger supplies, exports, domestic use and ending stocks. Corn beginning stocks were raised based on the September 30, 2026 Grain Stocks report. Corn production moved higher on a 2.7-bushel increase in yield to 181.2 bushels per acre compared to the prior month report. Harvested area for grain is unchanged at 88.5 million acres. Each component of use was increased. Exports increased due to increased supplies.</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Natural Gas Prices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Natural gas is the primary resource for conversion and manufacturing production of our nitrogen products.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Historically, we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volume of natural gas utilized to produce the goods we sold and the associated average cost per MMBtu:</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0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Natural gas volumes (MMBtu in millions)</w:t>
            </w:r>
          </w:p>
        </w:tc>
        <w:tc>
          <w:tcPr>
            <w:tcW w:w="10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Natural gas average cost per MMBtu</w:t>
            </w:r>
          </w:p>
        </w:tc>
        <w:tc>
          <w:tcPr>
            <w:tcW w:w="1080" w:type="dxa"/>
            <w:vAlign w:val="bottom"/>
          </w:tcPr>
          <w:p>
            <w:pPr>
              <w:jc w:val="right"/>
              <w:ind w:right="92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2.93</w:t>
            </w:r>
          </w:p>
        </w:tc>
        <w:tc>
          <w:tcPr>
            <w:tcW w:w="360" w:type="dxa"/>
            <w:vAlign w:val="bottom"/>
          </w:tcPr>
          <w:p>
            <w:pPr>
              <w:spacing w:after="0"/>
              <w:rPr>
                <w:sz w:val="17"/>
                <w:szCs w:val="17"/>
                <w:color w:val="auto"/>
              </w:rPr>
            </w:pPr>
          </w:p>
        </w:tc>
        <w:tc>
          <w:tcPr>
            <w:tcW w:w="1060" w:type="dxa"/>
            <w:vAlign w:val="bottom"/>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3.10</w:t>
            </w:r>
          </w:p>
        </w:tc>
      </w:tr>
      <w:tr>
        <w:trPr>
          <w:trHeight w:val="20"/>
        </w:trPr>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Transportation Costs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Costs for transporting nitrogen-based products can be significant relative to their selling price. We continue to evaluate the rising costs of freight domestically. As a result of increases in demand for available rail, truck and barge options to transport product, primarily during the spring and fall planting seasons, higher transportation costs have and could continue to impact our margins, where we are unable to fully pass through these costs to our customers. Additionally, truck driver shortages could impact our ability to fulfill customer demand. As a result, we continue to evaluate supply chain efficiencies to reduce or counter the impact of higher logistics costs.</w:t>
      </w:r>
    </w:p>
    <w:p>
      <w:pPr>
        <w:spacing w:after="0" w:line="71"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18"/>
          <w:szCs w:val="18"/>
          <w:b w:val="1"/>
          <w:bCs w:val="1"/>
          <w:color w:val="auto"/>
        </w:rPr>
        <w:t>Key Operational Factors</w:t>
      </w:r>
    </w:p>
    <w:p>
      <w:pPr>
        <w:spacing w:after="0" w:line="117" w:lineRule="exact"/>
        <w:rPr>
          <w:sz w:val="20"/>
          <w:szCs w:val="20"/>
          <w:color w:val="auto"/>
        </w:rPr>
      </w:pPr>
    </w:p>
    <w:p>
      <w:pPr>
        <w:jc w:val="center"/>
        <w:ind w:right="9340"/>
        <w:spacing w:after="0"/>
        <w:rPr>
          <w:sz w:val="20"/>
          <w:szCs w:val="20"/>
          <w:color w:val="auto"/>
        </w:rPr>
      </w:pPr>
      <w:r>
        <w:rPr>
          <w:rFonts w:ascii="Times New Roman" w:cs="Times New Roman" w:eastAsia="Times New Roman" w:hAnsi="Times New Roman"/>
          <w:sz w:val="18"/>
          <w:szCs w:val="18"/>
          <w:b w:val="1"/>
          <w:bCs w:val="1"/>
          <w:i w:val="1"/>
          <w:iCs w:val="1"/>
          <w:color w:val="auto"/>
        </w:rPr>
        <w:t>Facility Reliability</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Consistent, reliable and safe operations at our chemical plants are critical to our financial performance and results of operations. Planned downtime, including a planned major maintenance activity (each such activity, a “Turnaround”), and unplanned downtime can adversely affect results of operations through reduced sales volumes, lower fixed cost absorption, and increased repair and maintenance costs, which are expensed as incurred.</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completed the scheduled ammonia plant Turnaround at our El Dorado Facility during the second quarter of 2026 and the scheduled Turnaround at our Pryor Facility early in the third quarter of 2026. The timing of the Turnaround at our Pryor Facility was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480"/>
        <w:spacing w:after="0" w:line="282" w:lineRule="auto"/>
        <w:rPr>
          <w:sz w:val="20"/>
          <w:szCs w:val="20"/>
          <w:color w:val="auto"/>
        </w:rPr>
      </w:pPr>
      <w:r>
        <w:rPr>
          <w:rFonts w:ascii="Times New Roman" w:cs="Times New Roman" w:eastAsia="Times New Roman" w:hAnsi="Times New Roman"/>
          <w:sz w:val="18"/>
          <w:szCs w:val="18"/>
          <w:color w:val="auto"/>
        </w:rPr>
        <w:t>accelerated to commence during the second quarter of 2026 instead of the third quarter, as originally planned. We did not perform any major planned ammonia Turnaround events during 2025.</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Ammonia Production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Ammonia is the basic product used to produce all of our upgraded products. The ammonia production rates of our plants affect the total cost per ton of each product produced and the overall sales of our products.</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2026, we are targeting total ammonia production of approximately 780,000 tons to 810,000 tons, which reflects planned Turnaround work at our El Dorado and Pryor Facilities during 2026.</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Forward Sales Contracts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certain instances, we may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the Third Quarter of 2026</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consolidated net sales for the third quarter of 2026 were $158.6 million compared to $155.4 million for the same period in 2025. Our consolidated operating income for the third quarter of 2026 was $26.8 million compared to operating income of $15.6 million for the same period in 2025. The items impacting our operating results are discussed in more detail below and under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 of Results of the Third Quarter</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Prices</w:t>
      </w:r>
    </w:p>
    <w:p>
      <w:pPr>
        <w:spacing w:after="0" w:line="121"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For the third quarter of 2026, average selling prices for AN &amp; Nitric Acid and Ammonia increased, while UAN decreased slightly compared to the third quarter of 2025.</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Turnaround Activities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discussed above, during the second quarter of 2026, we performed major Turnaround activities at our El Dorado Facility and started a full plant Turnaround at our Pryor Facility. The Pryor Facility Turnaround was completed during the third quarter of 2026. When such activities are performed, overall results are negatively impacted. This impact includes lost contribution margin from lost sales, lost fixed cost absorption from lower production, and increased costs associated with repairs and maintenance. In addition, Turnaround-related costs may be incurred in periods earlier than the actual outage of the plant for activities such as planning and procurement of materials. Turnaround costs for the three months ended September 30, 2026 and 2025, were $6.3 million and $1.1 million, respectively, while Turnaround costs for the nine months ended September 30, 2026 and 2025, were $39.0 million and $5.7 million, respectively.</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One-Time Retention Award (2026 only)</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2026, we granted a one-time retention award of 706,880 restricted stock units (“RSUs”) to Mark T. Behrman, our Chief Executive Officer, which award is subject to cliff vesting and will vest on March 31, 2029. This award will increase stock-based compensation expense on a quarterly basis by approximately $0.9 million. See our discussion in “Equity Awards” in Note 1.</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Plant, Property and Equipment Write-downs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third quarter of 2026 and 2025, we recorded asset write-downs primarily related to assets no longer in use in the amount of $2.9 million and $0.4 million, respectively. These write-downs are primarily included in “Other expense (income), net” on our condensed consolidated statements of operations.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Shift in Production Mix</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2025, we transitioned our production from fertilizer grade ammonium nitrate (“HDAN”), an agricultural product, to ANS, a product used in industrial and mining applications. The transition was completed during the third quarter of 2025, at which time we ceased production of HDAN. This shift in production mix is consistent with our strategy to transition a portion of our sales from agricultural sales made at spot market pricing, which can be volatile, to sales under multi-year contracts that provide the pass-through of natural gas feedstock costs. In 2026 we shifted our production mix to AN &amp; Nitric Acid at the expense of UAN volumes in response to market conditions.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discussion and analysis of our condensed consolidated results of operations for the three and nine months ended September 30, 2026 and 2025.</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sales to unaffiliated customers are reported in the condensed consolidated financial statements. Gross profit represents net sales less cost of sales. Net sales are reported on a gross basis with the cost of freight being recorded in cost of sales.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September 30, 2026 Compared to Three Months Ended September 30, 2025</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for the three months ended September 30, 2026 and 2025, the increase or decrease between those periods, and the percentage increase or decrease between those periods with respect to each line item:</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2"/>
        </w:trPr>
        <w:tc>
          <w:tcPr>
            <w:tcW w:w="45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5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(Dollars 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 &amp; Nitric Acid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80,946</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57,522</w:t>
            </w:r>
          </w:p>
        </w:tc>
        <w:tc>
          <w:tcPr>
            <w:tcW w:w="2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23,424</w:t>
            </w:r>
          </w:p>
        </w:tc>
        <w:tc>
          <w:tcPr>
            <w:tcW w:w="3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r>
      <w:tr>
        <w:trPr>
          <w:trHeight w:val="216"/>
        </w:trPr>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51,423</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(31,217)</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Ammonia</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3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45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3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09"/>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158,602</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155,431</w:t>
            </w:r>
          </w:p>
        </w:tc>
        <w:tc>
          <w:tcPr>
            <w:tcW w:w="2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4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4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43,102</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25,543</w:t>
            </w:r>
          </w:p>
        </w:tc>
        <w:tc>
          <w:tcPr>
            <w:tcW w:w="2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w:t>
            </w:r>
          </w:p>
        </w:tc>
        <w:tc>
          <w:tcPr>
            <w:tcW w:w="3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r>
      <w:tr>
        <w:trPr>
          <w:trHeight w:val="216"/>
        </w:trPr>
        <w:tc>
          <w:tcPr>
            <w:tcW w:w="4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3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r>
      <w:tr>
        <w:trPr>
          <w:trHeight w:val="209"/>
        </w:trPr>
        <w:tc>
          <w:tcPr>
            <w:tcW w:w="4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26,807</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28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320" w:type="dxa"/>
            <w:vAlign w:val="bottom"/>
            <w:tcBorders>
              <w:top w:val="single" w:sz="8" w:color="CFF0FC"/>
            </w:tcBorders>
          </w:tcPr>
          <w:p>
            <w:pPr>
              <w:spacing w:after="0"/>
              <w:rPr>
                <w:sz w:val="18"/>
                <w:szCs w:val="18"/>
                <w:color w:val="auto"/>
              </w:rPr>
            </w:pPr>
          </w:p>
        </w:tc>
        <w:tc>
          <w:tcPr>
            <w:tcW w:w="158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(608)</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other income, net</w:t>
            </w: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(453)</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45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3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r>
      <w:tr>
        <w:trPr>
          <w:trHeight w:val="209"/>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3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130 %</w:t>
            </w:r>
          </w:p>
        </w:tc>
      </w:tr>
      <w:tr>
        <w:trPr>
          <w:trHeight w:val="20"/>
        </w:trPr>
        <w:tc>
          <w:tcPr>
            <w:tcW w:w="4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4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6"/>
        </w:trPr>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xml:space="preserve">Gross profit percentage </w:t>
            </w:r>
            <w:r>
              <w:rPr>
                <w:rFonts w:ascii="Times New Roman" w:cs="Times New Roman" w:eastAsia="Times New Roman" w:hAnsi="Times New Roman"/>
                <w:sz w:val="9"/>
                <w:szCs w:val="9"/>
                <w:color w:val="auto"/>
              </w:rPr>
              <w:t>(1)</w:t>
            </w:r>
          </w:p>
        </w:tc>
        <w:tc>
          <w:tcPr>
            <w:tcW w:w="28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27.2 %</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10.8 %</w:t>
            </w:r>
          </w:p>
        </w:tc>
        <w:tc>
          <w:tcPr>
            <w:tcW w:w="1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5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 xml:space="preserve">Property, plant and equipment expenditures </w:t>
            </w:r>
            <w:r>
              <w:rPr>
                <w:rFonts w:ascii="Times New Roman" w:cs="Times New Roman" w:eastAsia="Times New Roman" w:hAnsi="Times New Roman"/>
                <w:sz w:val="9"/>
                <w:szCs w:val="9"/>
                <w:color w:val="auto"/>
              </w:rPr>
              <w:t>(2)</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18,109</w:t>
            </w:r>
          </w:p>
        </w:tc>
        <w:tc>
          <w:tcPr>
            <w:tcW w:w="240" w:type="dxa"/>
            <w:vAlign w:val="bottom"/>
          </w:tcPr>
          <w:p>
            <w:pPr>
              <w:spacing w:after="0"/>
              <w:rPr>
                <w:sz w:val="17"/>
                <w:szCs w:val="17"/>
                <w:color w:val="auto"/>
              </w:rPr>
            </w:pPr>
          </w:p>
        </w:tc>
        <w:tc>
          <w:tcPr>
            <w:tcW w:w="4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16,978</w:t>
            </w:r>
          </w:p>
        </w:tc>
        <w:tc>
          <w:tcPr>
            <w:tcW w:w="28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1,131</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6"/>
        </w:trPr>
        <w:tc>
          <w:tcPr>
            <w:tcW w:w="4540" w:type="dxa"/>
            <w:vAlign w:val="bottom"/>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Development of carbon capture and sequestration facility</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13,289</w:t>
            </w:r>
          </w:p>
        </w:tc>
        <w:tc>
          <w:tcPr>
            <w:tcW w:w="2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13,289</w:t>
            </w:r>
          </w:p>
        </w:tc>
        <w:tc>
          <w:tcPr>
            <w:tcW w:w="3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101"/>
        </w:trPr>
        <w:tc>
          <w:tcPr>
            <w:tcW w:w="4540" w:type="dxa"/>
            <w:vAlign w:val="bottom"/>
            <w:tcBorders>
              <w:top w:val="single" w:sz="8" w:color="CFF0FC"/>
            </w:tcBorders>
          </w:tcPr>
          <w:p>
            <w:pPr>
              <w:spacing w:after="0" w:line="101" w:lineRule="exact"/>
              <w:rPr>
                <w:sz w:val="20"/>
                <w:szCs w:val="20"/>
                <w:color w:val="auto"/>
              </w:rPr>
            </w:pPr>
            <w:r>
              <w:rPr>
                <w:rFonts w:ascii="Times New Roman" w:cs="Times New Roman" w:eastAsia="Times New Roman" w:hAnsi="Times New Roman"/>
                <w:sz w:val="11"/>
                <w:szCs w:val="11"/>
                <w:color w:val="auto"/>
              </w:rPr>
              <w:t>_____________________________</w:t>
            </w:r>
          </w:p>
        </w:tc>
        <w:tc>
          <w:tcPr>
            <w:tcW w:w="28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320" w:type="dxa"/>
            <w:vAlign w:val="bottom"/>
            <w:tcBorders>
              <w:top w:val="single" w:sz="8" w:color="CFF0FC"/>
            </w:tcBorders>
          </w:tcPr>
          <w:p>
            <w:pPr>
              <w:spacing w:after="0"/>
              <w:rPr>
                <w:sz w:val="8"/>
                <w:szCs w:val="8"/>
                <w:color w:val="auto"/>
              </w:rPr>
            </w:pPr>
          </w:p>
        </w:tc>
        <w:tc>
          <w:tcPr>
            <w:tcW w:w="136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-2424430</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-2424430</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-2424430</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-1567180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-1567180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-1567180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-1010285</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-1010285</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-1010285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-427355</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-410210</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-427355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-410210</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-427355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-410210</wp:posOffset>
            </wp:positionV>
            <wp:extent cx="137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-101600</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-84455</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-101600</wp:posOffset>
            </wp:positionV>
            <wp:extent cx="137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-84455</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-101600</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-84455</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5" w:lineRule="auto"/>
        <w:rPr>
          <w:sz w:val="20"/>
          <w:szCs w:val="20"/>
          <w:color w:val="auto"/>
        </w:rPr>
      </w:pPr>
      <w:r>
        <w:rPr>
          <w:rFonts w:ascii="Times New Roman" w:cs="Times New Roman" w:eastAsia="Times New Roman" w:hAnsi="Times New Roman"/>
          <w:sz w:val="15"/>
          <w:szCs w:val="15"/>
          <w:color w:val="auto"/>
        </w:rPr>
        <w:t>N/M-Not meaningful.</w:t>
      </w:r>
    </w:p>
    <w:p>
      <w:pPr>
        <w:ind w:left="380" w:hanging="372"/>
        <w:spacing w:after="0" w:line="225" w:lineRule="auto"/>
        <w:tabs>
          <w:tab w:leader="none" w:pos="3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percentage of the total net sales.</w:t>
      </w:r>
    </w:p>
    <w:p>
      <w:pPr>
        <w:ind w:left="380" w:hanging="372"/>
        <w:spacing w:after="0"/>
        <w:tabs>
          <w:tab w:leader="none" w:pos="3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include expenditures for the development of the carbon capture and sequestration facility.</w:t>
      </w:r>
    </w:p>
    <w:p>
      <w:pPr>
        <w:spacing w:after="0" w:line="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provide key operating metrics for the fertilizer and major industrial products, the increase or decrease between those periods, and the percentage increase or decrease between those periods with respect to each line item:</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2"/>
        </w:trPr>
        <w:tc>
          <w:tcPr>
            <w:tcW w:w="45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Product (tons sold)</w:t>
            </w: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7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
        </w:trPr>
        <w:tc>
          <w:tcPr>
            <w:tcW w:w="11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580" w:type="dxa"/>
            <w:vAlign w:val="bottom"/>
            <w:tcBorders>
              <w:right w:val="single" w:sz="8" w:color="CFF0FC"/>
            </w:tcBorders>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AN &amp; Nitric Acid</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196,477</w:t>
            </w: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159,662</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36,815</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4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(79,124)</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580" w:type="dxa"/>
            <w:vAlign w:val="bottom"/>
            <w:tcBorders>
              <w:right w:val="single" w:sz="8" w:color="CFF0FC"/>
            </w:tcBorders>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Ammonia</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79,940</w:t>
            </w: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86,322</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(6,382)</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2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4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380,618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(48,691)</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561"/>
        </w:trPr>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2"/>
        </w:trPr>
        <w:tc>
          <w:tcPr>
            <w:tcW w:w="256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Gross Average Selling Prices (price per ton)</w:t>
            </w:r>
          </w:p>
        </w:tc>
        <w:tc>
          <w:tcPr>
            <w:tcW w:w="20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14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r>
      <w:tr>
        <w:trPr>
          <w:trHeight w:val="210"/>
        </w:trPr>
        <w:tc>
          <w:tcPr>
            <w:tcW w:w="4580" w:type="dxa"/>
            <w:vAlign w:val="bottom"/>
            <w:tcBorders>
              <w:right w:val="single" w:sz="8" w:color="CFF0FC"/>
            </w:tcBorders>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AN &amp; Nitric Acid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4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580" w:type="dxa"/>
            <w:vAlign w:val="bottom"/>
            <w:tcBorders>
              <w:right w:val="single" w:sz="8" w:color="CFF0FC"/>
            </w:tcBorders>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Ammonia</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634"/>
        </w:trPr>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45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Average Benchmark Prices (price per ton)</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
        </w:trPr>
        <w:tc>
          <w:tcPr>
            <w:tcW w:w="1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Tampa Ammonia Benchmark</w:t>
            </w:r>
          </w:p>
        </w:tc>
        <w:tc>
          <w:tcPr>
            <w:tcW w:w="2140" w:type="dxa"/>
            <w:vAlign w:val="bottom"/>
            <w:tcBorders>
              <w:right w:val="single" w:sz="8" w:color="CFF0FC"/>
            </w:tcBorders>
            <w:gridSpan w:val="2"/>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r>
      <w:tr>
        <w:trPr>
          <w:trHeight w:val="234"/>
        </w:trPr>
        <w:tc>
          <w:tcPr>
            <w:tcW w:w="4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NOLA UAN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630"/>
        </w:trPr>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1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-2794000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-2794000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-2794000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recorded net sales of $158.6 million during the third quarter of 2026 compared to $155.4 million for the third quarter of 2025, representing an increase of $3.2 million. The increase was primarily due to higher sales prices for AN &amp; Nitric Acid and Ammonia products and was partially offset by volume decreases primarily caused by the Turnaround at our Pryor Facility, which commenced during the second quarter and was completed during the third quarter. In addition to the impact of the Turnaround, UAN volumes were lower as production shifted to AN &amp; Nitric Acid as part of our product mix strategy in response to tight market conditions.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recognized a gross profit of $43.1 million for the third quarter of 2026 compared to $25.5 million for the same period in 2025, or a $17.6 million increase. Our gross profit percentage for the third quarter of 2026 was 27.2% compared to 16.4% for the same period in 2025. Our gross profit for the third quarter of 2026 was higher compared to the same period of 2025 primarily due to the impact of favorable pricing, a recovery of precious metals and lower plant fixed costs, partially offset by decreased UAN and Ammonia sales volumes and Turnaround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SG&amp;A expenses were higher for the third quarter of 2026 compared to the same period of 2025, primarily due to an increase in salaries and wages, short term incentive compensation, stock-based compensation from a one-time retention award (see discussion of the retention grant within “Equity Awards” in Note 1) and professional fees.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Other expense, net, during the third quarter of 2026 consisted primarily of losses from asset write-downs partially offset by sales and use tax recoveries resulting from our ongoing review.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Interest expense for the third quarter of 2026 was $6.8 million compared to $7.4 million for the same period in 2025. The decrease was primarily due to an increase in the amount of interest that we capitalized and a lower balance on our Senior Secured Notes as a result of repurchases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Other Income, net</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Non-operating other income, net for the third quarter of 2026 was $1.8 million compared to $1.4 million for the same period of 2025, primarily related to interest income earned during both periods from our short-term investments. Our average short-term investments balance including cash equivalents, was higher during the third quarter of 2026 but interest rates were lower during this period compared to the third quarter of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the third quarter of 2026 was $5.5 million compared to $2.5 million for the same period of 2025. The resulting effective tax rate for the third quarter of 2026 was a provision on pre-tax income of 25.3% compared to a provision for income taxes of 26.3% for the same period of 2025. For the third quarter of 2026, the effective tax rate was higher than the statutory rate primarily due to nondeductible compensation expense and state taxes. For the third quarter of 2025, the effective tax rate was higher than the statutory rate primarily due to nondeductible compensation expense and state taxes. See discussion in Note 7.</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September 30, 2026 Compared to Nine Months Ended September 30, 2025</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financial information for the nine months ended September 30, 2026 and 2025, the increase or decrease between those periods, and the percentage increase or decrease between those periods with respect to each line item:</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0"/>
              </w:rPr>
              <w:t>(Dollars In Thousands)</w:t>
            </w: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 &amp; Nitric Acid</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225,832</w:t>
            </w:r>
          </w:p>
        </w:tc>
        <w:tc>
          <w:tcPr>
            <w:tcW w:w="24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176,847</w:t>
            </w: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48,985</w:t>
            </w:r>
          </w:p>
        </w:tc>
        <w:tc>
          <w:tcPr>
            <w:tcW w:w="3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131,865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147,550</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(15,685)</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Ammonia</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3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w:t>
            </w:r>
          </w:p>
        </w:tc>
        <w:tc>
          <w:tcPr>
            <w:tcW w:w="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3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496,181</w:t>
            </w:r>
          </w:p>
        </w:tc>
        <w:tc>
          <w:tcPr>
            <w:tcW w:w="24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450,159</w:t>
            </w: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46,022</w:t>
            </w:r>
          </w:p>
        </w:tc>
        <w:tc>
          <w:tcPr>
            <w:tcW w:w="3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90,357</w:t>
            </w:r>
          </w:p>
        </w:tc>
        <w:tc>
          <w:tcPr>
            <w:tcW w:w="24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63,100</w:t>
            </w: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27,257</w:t>
            </w:r>
          </w:p>
        </w:tc>
        <w:tc>
          <w:tcPr>
            <w:tcW w:w="3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3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(564)</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45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47,221</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3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32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(2,371)</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other income, net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(5,060)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(4,600)</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(460)</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(1,841)</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21,362</w:t>
            </w:r>
          </w:p>
        </w:tc>
        <w:tc>
          <w:tcPr>
            <w:tcW w:w="3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197"/>
        </w:trPr>
        <w:tc>
          <w:tcPr>
            <w:tcW w:w="4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Gross profit percentage </w:t>
            </w:r>
            <w:r>
              <w:rPr>
                <w:rFonts w:ascii="Times New Roman" w:cs="Times New Roman" w:eastAsia="Times New Roman" w:hAnsi="Times New Roman"/>
                <w:sz w:val="9"/>
                <w:szCs w:val="9"/>
                <w:color w:val="auto"/>
              </w:rPr>
              <w:t>(1)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14.0 %</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4.2 %</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00" w:type="dxa"/>
            <w:vAlign w:val="bottom"/>
            <w:tcBorders>
              <w:bottom w:val="single" w:sz="8" w:color="CFF0FC"/>
            </w:tcBorders>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Property, plant and equipment expenditures </w:t>
            </w:r>
            <w:r>
              <w:rPr>
                <w:rFonts w:ascii="Times New Roman" w:cs="Times New Roman" w:eastAsia="Times New Roman" w:hAnsi="Times New Roman"/>
                <w:sz w:val="9"/>
                <w:szCs w:val="9"/>
                <w:color w:val="auto"/>
              </w:rPr>
              <w:t>(2)</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64,350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56,325</w:t>
            </w:r>
          </w:p>
        </w:tc>
        <w:tc>
          <w:tcPr>
            <w:tcW w:w="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8,025</w:t>
            </w:r>
          </w:p>
        </w:tc>
        <w:tc>
          <w:tcPr>
            <w:tcW w:w="3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Development of carbon capture and sequestration facility</w:t>
            </w:r>
          </w:p>
        </w:tc>
        <w:tc>
          <w:tcPr>
            <w:tcW w:w="56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24,108</w:t>
            </w:r>
          </w:p>
        </w:tc>
        <w:tc>
          <w:tcPr>
            <w:tcW w:w="240" w:type="dxa"/>
            <w:vAlign w:val="bottom"/>
          </w:tcPr>
          <w:p>
            <w:pPr>
              <w:spacing w:after="0"/>
              <w:rPr>
                <w:sz w:val="17"/>
                <w:szCs w:val="17"/>
                <w:color w:val="auto"/>
              </w:rPr>
            </w:pPr>
          </w:p>
        </w:tc>
        <w:tc>
          <w:tcPr>
            <w:tcW w:w="4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24,108</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-2561590</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-2561590</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-2561590</wp:posOffset>
            </wp:positionV>
            <wp:extent cx="137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-1704340</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-1704340</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-1704340</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-864235</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-847090</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-864235</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-847090</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-864235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-847090</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-264160</wp:posOffset>
            </wp:positionV>
            <wp:extent cx="137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-247015</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-264160</wp:posOffset>
            </wp:positionV>
            <wp:extent cx="137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-247015</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-264160</wp:posOffset>
            </wp:positionV>
            <wp:extent cx="137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-247015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5" w:lineRule="auto"/>
        <w:rPr>
          <w:sz w:val="20"/>
          <w:szCs w:val="20"/>
          <w:color w:val="auto"/>
        </w:rPr>
      </w:pPr>
      <w:r>
        <w:rPr>
          <w:rFonts w:ascii="Times New Roman" w:cs="Times New Roman" w:eastAsia="Times New Roman" w:hAnsi="Times New Roman"/>
          <w:sz w:val="15"/>
          <w:szCs w:val="15"/>
          <w:color w:val="auto"/>
        </w:rPr>
        <w:t>N/M-Not meaningful.</w:t>
      </w:r>
    </w:p>
    <w:p>
      <w:pPr>
        <w:ind w:left="380" w:hanging="372"/>
        <w:spacing w:after="0" w:line="225" w:lineRule="auto"/>
        <w:tabs>
          <w:tab w:leader="none" w:pos="3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percentage of the total net sales.</w:t>
      </w:r>
    </w:p>
    <w:p>
      <w:pPr>
        <w:ind w:left="380" w:hanging="372"/>
        <w:spacing w:after="0"/>
        <w:tabs>
          <w:tab w:leader="none" w:pos="3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include expenditures for the development of the carbon capture and sequestration facility.</w:t>
      </w:r>
    </w:p>
    <w:p>
      <w:pPr>
        <w:spacing w:after="0" w:line="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provide key operating metrics for the fertilizer and major industrial products, the increase or decrease between those periods, and the percentage increase or decrease between those periods with respect to each line item:</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300" w:type="dxa"/>
            <w:vAlign w:val="bottom"/>
            <w:tcBorders>
              <w:bottom w:val="single" w:sz="8" w:color="auto"/>
            </w:tcBorders>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2"/>
        </w:trPr>
        <w:tc>
          <w:tcPr>
            <w:tcW w:w="454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color w:val="auto"/>
              </w:rPr>
              <w:t>Product (tons sold)</w:t>
            </w:r>
          </w:p>
        </w:tc>
        <w:tc>
          <w:tcPr>
            <w:tcW w:w="1560" w:type="dxa"/>
            <w:vAlign w:val="bottom"/>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740" w:type="dxa"/>
            <w:vAlign w:val="bottom"/>
            <w:gridSpan w:val="2"/>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56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
        </w:trPr>
        <w:tc>
          <w:tcPr>
            <w:tcW w:w="11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r>
        <w:trPr>
          <w:trHeight w:val="210"/>
        </w:trPr>
        <w:tc>
          <w:tcPr>
            <w:tcW w:w="454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AN &amp; Nitric Acid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553,678</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471,702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81,976</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4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314,951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435,006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(120,055)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540" w:type="dxa"/>
            <w:vAlign w:val="bottom"/>
            <w:tcBorders>
              <w:bottom w:val="single" w:sz="8" w:color="CFF0FC"/>
            </w:tcBorders>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Ammonia</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181,647</w:t>
            </w:r>
          </w:p>
        </w:tc>
        <w:tc>
          <w:tcPr>
            <w:tcW w:w="1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225,794</w:t>
            </w:r>
          </w:p>
        </w:tc>
        <w:tc>
          <w:tcPr>
            <w:tcW w:w="1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(44,147)</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45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1,050,276</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1,132,502</w:t>
            </w:r>
          </w:p>
        </w:tc>
        <w:tc>
          <w:tcPr>
            <w:tcW w:w="14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45"/>
        </w:trPr>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300" w:type="dxa"/>
            <w:vAlign w:val="bottom"/>
            <w:tcBorders>
              <w:bottom w:val="single" w:sz="8" w:color="auto"/>
            </w:tcBorders>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2"/>
        </w:trPr>
        <w:tc>
          <w:tcPr>
            <w:tcW w:w="256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Gross Average Selling Prices (price per ton)</w:t>
            </w:r>
          </w:p>
        </w:tc>
        <w:tc>
          <w:tcPr>
            <w:tcW w:w="1980" w:type="dxa"/>
            <w:vAlign w:val="bottom"/>
          </w:tcPr>
          <w:p>
            <w:pPr>
              <w:spacing w:after="0"/>
              <w:rPr>
                <w:sz w:val="12"/>
                <w:szCs w:val="12"/>
                <w:color w:val="auto"/>
              </w:rPr>
            </w:pPr>
          </w:p>
        </w:tc>
        <w:tc>
          <w:tcPr>
            <w:tcW w:w="156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56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5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2"/>
                <w:szCs w:val="12"/>
                <w:color w:val="auto"/>
              </w:rPr>
            </w:pPr>
          </w:p>
        </w:tc>
        <w:tc>
          <w:tcPr>
            <w:tcW w:w="15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54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AN &amp; Nitric Acid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4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454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Ammonia</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418"/>
        </w:trPr>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300" w:type="dxa"/>
            <w:vAlign w:val="bottom"/>
            <w:tcBorders>
              <w:bottom w:val="single" w:sz="8" w:color="auto"/>
            </w:tcBorders>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45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Average Benchmark Prices (price per ton)</w:t>
            </w:r>
          </w:p>
        </w:tc>
        <w:tc>
          <w:tcPr>
            <w:tcW w:w="15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40" w:type="dxa"/>
            <w:vAlign w:val="bottom"/>
            <w:gridSpan w:val="2"/>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15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2440" w:type="dxa"/>
            <w:vAlign w:val="bottom"/>
            <w:tcBorders>
              <w:top w:val="single" w:sz="8" w:color="auto"/>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Tampa Ammonia Benchmark</w:t>
            </w:r>
          </w:p>
        </w:tc>
        <w:tc>
          <w:tcPr>
            <w:tcW w:w="2100" w:type="dxa"/>
            <w:vAlign w:val="bottom"/>
            <w:gridSpan w:val="2"/>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4"/>
        </w:trPr>
        <w:tc>
          <w:tcPr>
            <w:tcW w:w="4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NOLA UAN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630"/>
        </w:trPr>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763"/>
        </w:trPr>
        <w:tc>
          <w:tcPr>
            <w:tcW w:w="1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-2519680</wp:posOffset>
            </wp:positionV>
            <wp:extent cx="1028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-2519680</wp:posOffset>
            </wp:positionV>
            <wp:extent cx="939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-2519680</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sales increased during the first nine months of 2026 compared to the prior year period primarily due to higher sales prices on all our products partially offset by lower volumes of UAN and Ammonia sold. Total volumes were lower due to the impact of the Turnarounds at our El Dorado and Pryor Facilities. Furthermore, UAN volumes were lower as production shifted to AN &amp; Nitric Acid as part of our product mix strategy in response to current market conditions.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noted in the table above, we recognized a gross profit of $90.4 million for the first nine months of 2026 compared to $63.1 million for the same period in 2025, a $27.3 million increase. Our gross profit percentage was 18.2% compared to a gross profit percentage of 14.0% for the same period in 2025. Our gross profit for the first nine months of 2026 was higher compared to the same period of 2025 primarily due to increased sales from favorable product pricing and a recovery of precious metals partially offset by decreased sales volumes, Turnaround expenses and higher depreciation due to recent investments in our facilities.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SG&amp;A expenses were higher for the first nine months of 2026 compared to the same period of 2025, primarily due to an increase in salaries and wages, short-term incentive compensation and stock-based compensation from a one-time retention award (see discussion of the Side Letter and retention grant within “Equity Awards” in Note 1) and professional fees.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Interest expense for the first nine months of 2026 was $20.9 million compared to $23.3 million for the same period in 2025. The decrease primarily related to a lower balance of Senior Secured Notes as a result of repurchases made during the second and fourth quarters of 2025 and an increase in the amount of interest that we capitalized.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2025, we repurchased $32.4 million in principal amount of our Senior Secured Notes for approximately $32.1 million, which was accounted for as an extinguishment of debt. Including our write-off of the associated remaining portion of unamortized debt issuance costs, we recognized a loss on extinguishment of debt of approximately $0.1 million. There have been no repurchases so far during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Other expense, net during the first nine months of 2026 was lower than the prior year period primarily due to sales and use tax recoveries resulting from our ongoing review, which reduced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Other Income, net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Non-operating other income, net for the first nine months of 2026 and 2025 primarily related to interest income earned during both periods from our short-term investments. Our average short-term investments balance including cash equivalents, was higher during the first nine months of 2026 but interest rates were lower during this period compared to the first nine months of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the first nine months of 2026 was $1.5 million compared to a provision for income taxes of $3.3 million for the same period of 2025. The resulting effective tax rate for the first nine months of 2026 was a provision for income taxes of 4.8% compared to a provision for income taxes of 28.2% for the same period of 2025. For the first nine months of 2026, the effective tax rate was lower than the statutory rate primarily due to the release of state valuation allowances, partially offset by nondeductible compensation expense. For the first nine months of 2025, the effective tax rate was higher than the statutory rate primarily due to nondeductible compensation expense and state taxes. See discussion in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nine months ended September 30:</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23"/>
        </w:trPr>
        <w:tc>
          <w:tcPr>
            <w:tcW w:w="31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131,656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77,575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54,081</w:t>
            </w:r>
          </w:p>
        </w:tc>
      </w:tr>
      <w:tr>
        <w:trPr>
          <w:trHeight w:val="210"/>
        </w:trPr>
        <w:tc>
          <w:tcPr>
            <w:tcW w:w="3160" w:type="dxa"/>
            <w:vAlign w:val="bottom"/>
            <w:tcBorders>
              <w:top w:val="single" w:sz="8" w:color="CFF0FC"/>
            </w:tcBorders>
          </w:tcPr>
          <w:p>
            <w:pPr>
              <w:spacing w:after="0"/>
              <w:rPr>
                <w:sz w:val="18"/>
                <w:szCs w:val="18"/>
                <w:color w:val="auto"/>
              </w:rPr>
            </w:pPr>
          </w:p>
        </w:tc>
        <w:tc>
          <w:tcPr>
            <w:tcW w:w="34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(100,271)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(16,942)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(83,329)</w:t>
            </w:r>
          </w:p>
        </w:tc>
      </w:tr>
      <w:tr>
        <w:trPr>
          <w:trHeight w:val="197"/>
        </w:trPr>
        <w:tc>
          <w:tcPr>
            <w:tcW w:w="3160" w:type="dxa"/>
            <w:vAlign w:val="bottom"/>
            <w:tcBorders>
              <w:top w:val="single" w:sz="8" w:color="CFF0FC"/>
            </w:tcBorders>
          </w:tcPr>
          <w:p>
            <w:pPr>
              <w:spacing w:after="0"/>
              <w:rPr>
                <w:sz w:val="17"/>
                <w:szCs w:val="17"/>
                <w:color w:val="auto"/>
              </w:rPr>
            </w:pPr>
          </w:p>
        </w:tc>
        <w:tc>
          <w:tcPr>
            <w:tcW w:w="34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(13,200)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(52,912)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39,712</w:t>
            </w:r>
          </w:p>
        </w:tc>
      </w:tr>
      <w:tr>
        <w:trPr>
          <w:trHeight w:val="264"/>
        </w:trPr>
        <w:tc>
          <w:tcPr>
            <w:tcW w:w="66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8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40" w:type="dxa"/>
            <w:vAlign w:val="bottom"/>
            <w:tcBorders>
              <w:top w:val="single" w:sz="8" w:color="CFF0FC"/>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0"/>
        </w:trPr>
        <w:tc>
          <w:tcPr>
            <w:tcW w:w="31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-822325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-805180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-822325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-805180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-513715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-496570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-513715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-496570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-213995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-196215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-213995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-196215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$131.7 million for the first nine months of 2026 compared to $77.6 million for the same period of 2025, a change of $54.1 million. The increase was primarily a result of improved operating income and changes in working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Investing Activities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was $100.3 million for the first nine months of 2026 compared to net cash used by investing activities of $16.9 million for the same period of 2025, a change of $83.3 million.</w:t>
      </w:r>
    </w:p>
    <w:p>
      <w:pPr>
        <w:spacing w:after="0" w:line="54"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8"/>
          <w:szCs w:val="18"/>
          <w:color w:val="auto"/>
        </w:rPr>
        <w:t>For the first nine months of 2026, the net cash used by investing activities primarily related to purchases of short-term investments of $257.2 million, expenditures for property, plant and equipment of $64.4 million and development of our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capture and sequestration project of $24.1 million partially offset by proceeds from short-term investments of $221.4 million, a recovery of PP&amp;E costs of $20.9 million and proceeds from sales of property, plant and equipment totaling $3.2 million.</w:t>
      </w:r>
    </w:p>
    <w:p>
      <w:pPr>
        <w:spacing w:after="0" w:line="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first nine months of 2025, the net cash used by investing activities primarily related to purchases of short-term investments of $171.8 million and expenditures for property, plant and equipment of $56.3 million, partially offset by proceeds from short-term investments of $211.4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Financing Activities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used by financing activities was $13.2 million for the first nine months of 2026 compared to $52.9 million for the same period of 2025, a change of $39.7 million.</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first nine months of 2026, the net cash used by financing activities primarily consisted of payments on short-term financing and finance leases of $11.3 million, $2.1 million for tax withholding obligations related to the vesting of equity awards and $1.4 million in payments on our revolving debt facility partially offset by proceeds of $1.4 million from our revolving debt facility.</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the first nine months of 2025, the net cash used by financing activities primarily consisted of repurchases of our Senior Secured Notes of $32.1 million, payments on a secured financing due 2025 and short-term financing of $19.8 million and $1.2 million for tax withholding obligations related to the vesting of equity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total cash and cash equivalents, short-term investments, long-term debt and stockholders’ equity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December 31,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3"/>
              </w:rPr>
              <w:t>Millions)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4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Senior Secured Notes due 2028 </w:t>
            </w:r>
            <w:r>
              <w:rPr>
                <w:rFonts w:ascii="Times New Roman" w:cs="Times New Roman" w:eastAsia="Times New Roman" w:hAnsi="Times New Roman"/>
                <w:sz w:val="14"/>
                <w:szCs w:val="14"/>
                <w:color w:val="auto"/>
              </w:rPr>
              <w:t>(1)</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Unamortized debt issuance costs </w:t>
            </w:r>
            <w:r>
              <w:rPr>
                <w:rFonts w:ascii="Times New Roman" w:cs="Times New Roman" w:eastAsia="Times New Roman" w:hAnsi="Times New Roman"/>
                <w:sz w:val="14"/>
                <w:szCs w:val="14"/>
                <w:color w:val="auto"/>
              </w:rPr>
              <w:t>(2)</w:t>
            </w:r>
          </w:p>
        </w:tc>
        <w:tc>
          <w:tcPr>
            <w:tcW w:w="160" w:type="dxa"/>
            <w:vAlign w:val="bottom"/>
          </w:tcPr>
          <w:p>
            <w:pPr>
              <w:spacing w:after="0"/>
              <w:rPr>
                <w:sz w:val="18"/>
                <w:szCs w:val="18"/>
                <w:color w:val="auto"/>
              </w:rPr>
            </w:pPr>
          </w:p>
        </w:tc>
        <w:tc>
          <w:tcPr>
            <w:tcW w:w="17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558.1</w:t>
            </w:r>
          </w:p>
        </w:tc>
        <w:tc>
          <w:tcPr>
            <w:tcW w:w="180" w:type="dxa"/>
            <w:vAlign w:val="bottom"/>
          </w:tcPr>
          <w:p>
            <w:pPr>
              <w:spacing w:after="0"/>
              <w:rPr>
                <w:sz w:val="17"/>
                <w:szCs w:val="17"/>
                <w:color w:val="auto"/>
              </w:rPr>
            </w:pPr>
          </w:p>
        </w:tc>
        <w:tc>
          <w:tcPr>
            <w:tcW w:w="3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7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-1125220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-1108075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-1125220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-1108075</wp:posOffset>
            </wp:positionV>
            <wp:extent cx="77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-267970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-250825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-267970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-250825</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520" w:hanging="512"/>
        <w:spacing w:after="0"/>
        <w:tabs>
          <w:tab w:leader="none" w:pos="5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discussion contained in Note 4.</w:t>
      </w:r>
    </w:p>
    <w:p>
      <w:pPr>
        <w:spacing w:after="0" w:line="8" w:lineRule="exact"/>
        <w:rPr>
          <w:rFonts w:ascii="Times New Roman" w:cs="Times New Roman" w:eastAsia="Times New Roman" w:hAnsi="Times New Roman"/>
          <w:sz w:val="16"/>
          <w:szCs w:val="16"/>
          <w:color w:val="auto"/>
        </w:rPr>
      </w:pPr>
    </w:p>
    <w:p>
      <w:pPr>
        <w:ind w:left="520" w:right="60" w:hanging="512"/>
        <w:spacing w:after="0" w:line="276" w:lineRule="auto"/>
        <w:tabs>
          <w:tab w:leader="none" w:pos="5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issuance costs as of September 30, 2026 and December 31, 2025 of approximately $0.4 million and $0.5 million, respectively, relating to our Revolving Credit Facility are not included in Unamortized debt issuance costs. These costs are included in our condensed consolidated balance sheets in Intangible and other assets, net.</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currently have a revolving credit facility pursuant to a credit agreement, dated December 21, 2023, between us and the lenders identified on the signature pages thereof and JPMorgan Chase Bank, N.A, as administrative agent (the “Revolving Credit Facility”), with a borrowing base up to an initial maximum of $75 million, with an option to increase the maximum by an additional $25 million (which amount is uncommitted). Availability under the Revolving Credit Facility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September 30, 2026, our Revolving Credit Facility was undrawn and had approximately $62 million of availability. See Note 4 for further discussion of the Revolving Credit Facility.</w:t>
      </w:r>
    </w:p>
    <w:p>
      <w:pPr>
        <w:spacing w:after="0" w:line="8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For the full year of 2026, we expect capital expenditures for our core nitrogen-based business to be in the range of $80 million to $85 million, of which approximately $65 million to $70 million is expected to be spent on sustaining production and the remainder spent on growth initiatives. Additionally, in 2026 we expect to expend approximately $40 million of the total $95 million in estimated costs to develop our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capture and sequestration project. The estimate of costs to be incurred in 2026 does not include the contingent acquisition price that is payable only upon achievement of three defined Project milestones (See Note 11), which timing remains uncertain.</w:t>
      </w:r>
    </w:p>
    <w:p>
      <w:pPr>
        <w:spacing w:after="0" w:line="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September 30, 2026, we had approximately $203.5 million of cash and short-term investments. From time to time, we may seek to deploy capital through common stock repurchases or the repurchase of outstanding debt. Such repurchases may be made in open market purchases, privately negotiated transactions or otherwise and will depend on prevailing market conditions, our liquidity requirements, contractual restrictions and other factors. The amounts involved may be material.</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the combination of our cash and cash equivalents, short-term investments, the availability under our Revolving Credit Facility and our cash flow from operations will be sufficient to fund our anticipated liquidity needs for the next twelve months. Additionally, we expect our long-term liquidity position will be sufficient to meet our long-term liquidity needs with cash flows from operations and financing arrangements. However, in the event of changes in business conditions or other developments, including a sustained market deterioration, unanticipated regulatory developments, significant acquisitions, competitive pressures, or to the extent our liquidity needs prove to be greater than expected or cash generated from operations is less than anticipated, we may need additional liquidity. To the extent we elect to finance our long-term liquidity needs, we believe that the potential financing capital available to us in the future will be sufficient.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Long-Term Debt Covenants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discussed in Note 4, the Revolving Credit Facility does not include financial covenant requirements unless a defined covenant trigger event has occurred and is continuing. As of September 30, 2026, no trigger event had occurred.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Loan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Senior Secured Notes due 2028 – </w:t>
      </w:r>
      <w:r>
        <w:rPr>
          <w:rFonts w:ascii="Times New Roman" w:cs="Times New Roman" w:eastAsia="Times New Roman" w:hAnsi="Times New Roman"/>
          <w:sz w:val="18"/>
          <w:szCs w:val="18"/>
          <w:color w:val="auto"/>
        </w:rPr>
        <w:t>We had $438.6 million aggregate principal amount of Senior Secured Notes outstanding as of September 30, 2026.</w:t>
      </w:r>
    </w:p>
    <w:p>
      <w:pPr>
        <w:spacing w:after="0" w:line="222" w:lineRule="auto"/>
        <w:rPr>
          <w:sz w:val="20"/>
          <w:szCs w:val="20"/>
          <w:color w:val="auto"/>
        </w:rPr>
      </w:pPr>
      <w:r>
        <w:rPr>
          <w:rFonts w:ascii="Times New Roman" w:cs="Times New Roman" w:eastAsia="Times New Roman" w:hAnsi="Times New Roman"/>
          <w:sz w:val="18"/>
          <w:szCs w:val="18"/>
          <w:color w:val="auto"/>
        </w:rPr>
        <w:t>Interest is to be paid semiannually in arrears on May 15</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xml:space="preserve"> and October 15</w:t>
      </w:r>
      <w:r>
        <w:rPr>
          <w:rFonts w:ascii="Times New Roman" w:cs="Times New Roman" w:eastAsia="Times New Roman" w:hAnsi="Times New Roman"/>
          <w:sz w:val="10"/>
          <w:szCs w:val="10"/>
          <w:color w:val="auto"/>
        </w:rPr>
        <w:t>th</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8"/>
          <w:szCs w:val="18"/>
          <w:color w:val="auto"/>
        </w:rPr>
        <w:t xml:space="preserve"> The Senior Secured Notes mature on October 15, 2028.</w:t>
      </w:r>
    </w:p>
    <w:p>
      <w:pPr>
        <w:spacing w:after="0" w:line="105" w:lineRule="exact"/>
        <w:rPr>
          <w:sz w:val="20"/>
          <w:szCs w:val="20"/>
          <w:color w:val="auto"/>
        </w:rPr>
      </w:pPr>
    </w:p>
    <w:p>
      <w:pPr>
        <w:jc w:val="both"/>
        <w:ind w:right="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Revolving Credit Facility – </w:t>
      </w:r>
      <w:r>
        <w:rPr>
          <w:rFonts w:ascii="Times New Roman" w:cs="Times New Roman" w:eastAsia="Times New Roman" w:hAnsi="Times New Roman"/>
          <w:sz w:val="17"/>
          <w:szCs w:val="17"/>
          <w:color w:val="auto"/>
        </w:rPr>
        <w:t>At September 30, 2026, our Revolving Credit Facility was undrawn and had approximately $62 million of availability, based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our eligible collateral, less outstanding letters of credit as of that date. Also see discussion above under “Compliance with Long-Term Debt Covenants.”</w:t>
      </w:r>
    </w:p>
    <w:p>
      <w:pPr>
        <w:spacing w:after="0" w:line="24" w:lineRule="exact"/>
        <w:rPr>
          <w:sz w:val="20"/>
          <w:szCs w:val="20"/>
          <w:color w:val="auto"/>
        </w:rPr>
      </w:pPr>
    </w:p>
    <w:p>
      <w:pPr>
        <w:ind w:right="14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Finance Leases – </w:t>
      </w:r>
      <w:r>
        <w:rPr>
          <w:rFonts w:ascii="Times New Roman" w:cs="Times New Roman" w:eastAsia="Times New Roman" w:hAnsi="Times New Roman"/>
          <w:sz w:val="18"/>
          <w:szCs w:val="18"/>
          <w:color w:val="auto"/>
        </w:rPr>
        <w:t>Our finance leases consist primarily of leases on railcars. Most of our railcar leases are classified as operating leases.</w:t>
      </w:r>
      <w:r>
        <w:rPr>
          <w:rFonts w:ascii="Times New Roman" w:cs="Times New Roman" w:eastAsia="Times New Roman" w:hAnsi="Times New Roman"/>
          <w:sz w:val="18"/>
          <w:szCs w:val="18"/>
          <w:b w:val="1"/>
          <w:bCs w:val="1"/>
          <w:color w:val="auto"/>
        </w:rPr>
        <w:t xml:space="preserve"> Capital Expenditures – First Nine Months of 2026</w:t>
      </w:r>
    </w:p>
    <w:p>
      <w:pPr>
        <w:ind w:right="40"/>
        <w:spacing w:after="0" w:line="250" w:lineRule="auto"/>
        <w:rPr>
          <w:sz w:val="20"/>
          <w:szCs w:val="20"/>
          <w:color w:val="auto"/>
        </w:rPr>
      </w:pPr>
      <w:r>
        <w:rPr>
          <w:rFonts w:ascii="Times New Roman" w:cs="Times New Roman" w:eastAsia="Times New Roman" w:hAnsi="Times New Roman"/>
          <w:sz w:val="17"/>
          <w:szCs w:val="17"/>
          <w:color w:val="auto"/>
        </w:rPr>
        <w:t>For the first nine months of 2026, capital expenditures relating to property, plant and equipment were $64.4 million. Of the expenditures for the first nine months of 2026, approximately $57.5 million was spent on projects to sustain our production capacity while approximately $6.9 million was spent on growth initiatives. In addition, we expended $24.1 million for the development of our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7"/>
          <w:szCs w:val="17"/>
          <w:color w:val="auto"/>
        </w:rPr>
        <w:t xml:space="preserve"> capture and sequestration project. The capital expenditures were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funded primarily from cash and working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above under “Capitalization” for our total expected capital expenditures for the remainder of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Associated with Environmental Regulatory Compliance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subject to specific federal and state environmental compliance laws, regulations and guidelines. As a result, our expenses were $4.4 million for the first nine months ended September 30, 2026 in connection with environmental projects. For the remainder of 2026, we expect to incur expenses of approximately $1.5 million in connection with additional environmental projects. However, it is possible that the actual costs could be significantly different than our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sales of fertilizer products to the agricultural industry are seasonal, while sales into the industrial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and Payment Bonds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2026, we have agreed to indemnify the sureties for payments, up to $10.2 million, made by them in respect of such bonds.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for recently issued accounting standards.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See “Critical Accounting Policies and Estimates,” Item 7 of our Form 10-K for the year ended December 31, 2025, filed with the SEC on February 26, 2026 (the “2025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w:t>
      </w:r>
    </w:p>
    <w:p>
      <w:pPr>
        <w:spacing w:after="0" w:line="6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Income taxes are accounted for under the asset and liability method. Deferred tax assets and liabilities are measured using enacted tax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It is also reasonably possible that the estimates and assumptions utilized as of September 30, 2026, could change in the near term. Actual results could differ materially from these estimates and judgments, as additional information becomes known.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 as contemplated by Item 303 of Regulation S-K under the Securities Exchange Act of 1934, as amended (the “Exchange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results of operations and operating cash flows are impacted by changes in market prices of ammonia and natural gas and changes in market interest rates.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Forward Sales Commitments Risk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September 30, 2026, we had no embedded losses associated with sales commitments with firm sales prices.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Commodity Price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and as such, are exempt from derivative accounting requirements. At September 30, 2026, we had no outstanding natural gas contracts which are subject to derivative accounting requirements.</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may be exposed to variable interest rate risk with respect to our Revolving Credit Facility when there are outstanding borrowings. As of September 30, 2026, we had no outstanding borrowings on this credit facility and no other variable rate borrowings and, as a result, we currently do not hedge our interest rate risk associated with any variable interest rate loan.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2026. Based on this evaluation, the Company's Chief Executive Officer and Chief Financial Officer have concluded that the Company's disclosure controls and procedures were effective as of September 30, 2026, at the reasonable assurance level. There were no changes to our internal control over financial reporting (as such term is defined in Rules 13a-15(f) and 15d-15(f) under the Exchange Act) during the quarter ended September 30, 2026, that have materially affected, or are reasonably likely to materially affect, our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SPECIAL NOTE REGARDING FORWARD-LOOKING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statements contained within this report may be deemed “Forward-Looking Statements” within the meaning of U.S.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All Forward-Looking Statements speak only as of the date on which they are made. Forward-Looking Statements contained herein, and the associated risks, uncertainties, assumptions and other important factors include, but are not limited to, the following:</w:t>
      </w:r>
    </w:p>
    <w:p>
      <w:pPr>
        <w:spacing w:after="0" w:line="13"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projects that will generate the best returns for our stockholders;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liquidity outlook;</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our chemical products and related markets;</w:t>
      </w:r>
    </w:p>
    <w:p>
      <w:pPr>
        <w:spacing w:after="0" w:line="4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leverage our existing business platform and portfolio of assets to produce low carbon products and execute our strategy to become a leader in the energy transition in the chemical industry;</w:t>
      </w: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effect on the nitrogen market from current nitrogen expansion projects;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from the lack of non-seasonal volume;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competition is based upon service, price, location of production and distribution sites, and product quality and performance;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for the industrial end markets;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w:t>
      </w:r>
    </w:p>
    <w:p>
      <w:pPr>
        <w:spacing w:after="0" w:line="4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broaden the distribution of our products, including our ability to leverage our nitric acid production capacity at our El Dorado Facility;</w:t>
      </w: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initiatives to increase the distribution of our products within our industrial end markets;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success of our advanced low carbon ammonia initiatives, including the Project;</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ammonia pricing;</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our product and market diversification strategy;</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fertilizer production;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output and capacity of our existing production facilities;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volumes at our production facilities;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moderate risk inherent in agricultural markets;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to fund our cash needs and how this cash will be used;</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enter into the additional borrowings;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cost and timing of our capital projects, including the Project;</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covered under warranty provisions;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cost increases to our customers in the form of higher prices;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whether we have sufficient sources for materials and components;</w:t>
      </w:r>
    </w:p>
    <w:p>
      <w:pPr>
        <w:spacing w:after="0" w:line="36" w:lineRule="exact"/>
        <w:rPr>
          <w:rFonts w:ascii="Times New Roman" w:cs="Times New Roman" w:eastAsia="Times New Roman" w:hAnsi="Times New Roman"/>
          <w:sz w:val="18"/>
          <w:szCs w:val="18"/>
          <w:color w:val="auto"/>
        </w:rPr>
      </w:pPr>
    </w:p>
    <w:p>
      <w:pPr>
        <w:ind w:left="1020" w:hanging="503"/>
        <w:spacing w:after="0" w:line="273"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regarding our estimates and contingencies with respect to claims and legal actions in the ordinary course of our business and their effect on our business, financial condition, results of operations or cash flows;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natural gas requirements;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the market and demand for low carbon ammonia;</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our facilities with the terms of our permits;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compliance with environmental laws, health laws, security regulations and transportation regulations;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when Turnarounds will be performed and completed;</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environmental projects;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litigation and other contingencies;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interest expense;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debt servicing and covenants;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maturities or redemption obligations when due;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repurchase program on our stock price and cash reserves; and</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whether we can meet all required covenant tests for the next twelve months.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ind w:right="80"/>
        <w:spacing w:after="0" w:line="266" w:lineRule="auto"/>
        <w:rPr>
          <w:sz w:val="20"/>
          <w:szCs w:val="20"/>
          <w:color w:val="auto"/>
        </w:rPr>
      </w:pPr>
      <w:r>
        <w:rPr>
          <w:rFonts w:ascii="Times New Roman" w:cs="Times New Roman" w:eastAsia="Times New Roman" w:hAnsi="Times New Roman"/>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both domestic and foreign;</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reductions in revenues;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interest rates;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in a timely manner a material amount of receivables;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increases in prices of raw materials;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and local laws and regulations, or in the interpretation of such laws and regulations;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other issues related to climate change;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into the environment exceeding our permitted limits;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equipment, maintenance, operating or labor costs not presently anticipated by us;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use internally generated funds for purposes not presently anticipated;</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secure additional financing for planned capital expenditures or financing obligations due in the near future;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existing indebtedness;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cost of natural gas and certain precious metals;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due to financial covenants;</w:t>
      </w:r>
    </w:p>
    <w:p>
      <w:pPr>
        <w:spacing w:after="0" w:line="4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required regulatory approvals and satisfy other requirements for our carbon capture and sequestration project at our El Dorado Facility;</w:t>
      </w: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significant customer;</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to maintain internal control over financial reporting;</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strategy or development plans;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fund the working capital and expansion of our businesses;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production efficiency of our facilities;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our contingencies including pending litigation;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downtime at one or more of our chemical facilities;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rates at any of our chemical plants;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necessary raw materials and purchased components;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cost of raw materials;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our accounting estimates;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within our production equipment;</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or natural disasters;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retain our insurance coverage;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necessary permits;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third-party financing;</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proxy contests initiated by dissident stockholders;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fertilizer production;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acres planted for crops requiring fertilizer;</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duties for products we sell resulting in an increase in imported products into the United States;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regulatory policies, including tariffs;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concerns;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natural gas prices;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resulting from increased inflation;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the effects of climate change;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imported agricultural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disruptions;</w:t>
      </w:r>
    </w:p>
    <w:p>
      <w:pPr>
        <w:spacing w:after="0" w:line="34" w:lineRule="exact"/>
        <w:rPr>
          <w:rFonts w:ascii="Times New Roman" w:cs="Times New Roman" w:eastAsia="Times New Roman" w:hAnsi="Times New Roman"/>
          <w:sz w:val="18"/>
          <w:szCs w:val="18"/>
          <w:color w:val="auto"/>
        </w:rPr>
      </w:pPr>
    </w:p>
    <w:p>
      <w:pPr>
        <w:ind w:left="1020" w:hanging="503"/>
        <w:spacing w:after="0" w:line="273"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described in </w:t>
      </w:r>
      <w:r>
        <w:rPr>
          <w:rFonts w:ascii="Times New Roman" w:cs="Times New Roman" w:eastAsia="Times New Roman" w:hAnsi="Times New Roman"/>
          <w:sz w:val="18"/>
          <w:szCs w:val="18"/>
          <w:i w:val="1"/>
          <w:iCs w:val="1"/>
          <w:color w:val="auto"/>
        </w:rPr>
        <w:t>Item 2. Management’s Discussion and Analysis of Financial Condition and Results of Operations</w:t>
      </w:r>
      <w:r>
        <w:rPr>
          <w:rFonts w:ascii="Times New Roman" w:cs="Times New Roman" w:eastAsia="Times New Roman" w:hAnsi="Times New Roman"/>
          <w:sz w:val="18"/>
          <w:szCs w:val="18"/>
          <w:color w:val="auto"/>
        </w:rPr>
        <w:t xml:space="preserve"> contained in this report;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described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2025 Form 10-K.</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21"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and claims arising in the ordinary course of business. For further discussion of our legal matters, see “Note 5. Commitments and Contingencies—Legal Matters” in the notes to the condensed consolidated financial statements in this report.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Reference is made to Item 1A of our 2025 Form 10-K filed with the SEC on February 26, 2026. Except as set forth below, there were no material changes from the risk factors disclosed in our 2025 Form 10-K.</w:t>
      </w:r>
    </w:p>
    <w:p>
      <w:pPr>
        <w:spacing w:after="0" w:line="5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Geopolitical conditions, including political turmoil and volatility, regional conflicts, terrorism and war have negatively affected and could negatively affect United States and foreign companies, the financial markets, the industries where we operate, our operations and our profitability and could increase the volatility of our stock price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Geopolitical events, including political turmoil, regional conflicts, instability and terrorist attacks in the United States and elsewhere have in the past, and can in the future negatively affect our operations and could increase the volatility of our stock price. For example, Russia’s invasion of Ukraine and the ongoing conflict in the Middle East, including the military conflict between Iran and the United States, have impacted our financial results. These conflicts have had an effect on commodity prices and fertilizer supply, and there is no guarantee that such conflicts will not draw military intervention from other countries or further retaliation, which, in turn, could lead to a much larger conflict. Furthermore, such military conflicts and the resulting geopolitical instability have caused, and may continue to cause, (i) disruptions to international shipping routes (including through the Strait of Hormuz and other critical transit corridors), (ii) disruptions in global energy markets and significant fluctuations in the prices of oil, natural gas and fertilizer and (iii) substantial disruption to global financial markets, leading to heightened investor uncertainty, reduced risk tolerance and increased market volatility.</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It is possible that production volumes, supply chain and trade routes for our products that are traded globally, and the markets we currently serve, could be further adversely affected, which, in turn, could materially, adversely affect our business operations and financial performance. In addition, the market prices of our common stock have recently experienced, and may continue to experience, volatility.</w:t>
      </w:r>
    </w:p>
    <w:p>
      <w:pPr>
        <w:spacing w:after="0" w:line="6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Further, like other companies with major industrial facilities, we may be targets of terrorist activities. Many of our plants and facilities store significant quantities of ammonia and other materials that can be dangerous if mishandled. Any damage to infrastructure facilities, such as electric generation, transmission and distribution facilities, or injury to employees, who could be direct targets or indirect casualties of an act of terrorism, may affect our operations. Any disruption of our ability to produce or distribute our products could result in a significant decrease in revenues and significant additional costs to replace, repair or insure our assets, which could have a material adverse effect on our business, financial condition, results of operations and cash flows.</w:t>
      </w:r>
    </w:p>
    <w:p>
      <w:pPr>
        <w:spacing w:after="0" w:line="7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obtain required regulatory approvals and satisfy other requirements for our carbon capture and sequestration project at our El Dorado Facility, we may not realize the anticipated benefits of the project, and our business, financial condition, results of operations and cash flows could be adversely affected.</w:t>
      </w:r>
    </w:p>
    <w:p>
      <w:pPr>
        <w:spacing w:after="0" w:line="67"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7"/>
          <w:szCs w:val="17"/>
          <w:color w:val="auto"/>
        </w:rPr>
        <w:t>In May 2026, we acquired full ownership of the carbon capture and sequestration project at our El Dorado Facility (the “Project”) from Lapis Carbon Solutions. The Project is designed to capture and sequester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7"/>
          <w:szCs w:val="17"/>
          <w:color w:val="auto"/>
        </w:rPr>
        <w:t xml:space="preserve"> generated from our El Dorado Facility ammonia production in underground saline aquifers, and its completion and the commencement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7"/>
          <w:szCs w:val="17"/>
          <w:color w:val="auto"/>
        </w:rPr>
        <w:t xml:space="preserve"> injections are conditioned upon our receipt of a Class VI permit from the United States Environmental</w:t>
      </w:r>
    </w:p>
    <w:p>
      <w:pPr>
        <w:spacing w:after="0" w:line="1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Protection Agency (the “EPA”). A pre-construction Class VI permit application was filed with the EPA in February 2023, which the EPA recognized as complete in March 2023. The application was resubmitted in December 2025 following the EPA’s continuing technical review. Obtaining a Class VI permit is a rigorous, multi-year regulatory process that requires extensive EPA review of the suitability of the proposed storage reservoir.</w:t>
      </w:r>
    </w:p>
    <w:p>
      <w:pPr>
        <w:spacing w:after="0" w:line="68" w:lineRule="exact"/>
        <w:rPr>
          <w:sz w:val="20"/>
          <w:szCs w:val="20"/>
          <w:color w:val="auto"/>
        </w:rPr>
      </w:pPr>
    </w:p>
    <w:p>
      <w:pPr>
        <w:ind w:right="280"/>
        <w:spacing w:after="0" w:line="228" w:lineRule="auto"/>
        <w:rPr>
          <w:sz w:val="20"/>
          <w:szCs w:val="20"/>
          <w:color w:val="auto"/>
        </w:rPr>
      </w:pPr>
      <w:r>
        <w:rPr>
          <w:rFonts w:ascii="Times New Roman" w:cs="Times New Roman" w:eastAsia="Times New Roman" w:hAnsi="Times New Roman"/>
          <w:sz w:val="18"/>
          <w:szCs w:val="18"/>
          <w:color w:val="auto"/>
        </w:rPr>
        <w:t>The EPA may not grant a Class VI permit for the Project, or may not do so on the timeline we currently anticipate. Unless necessary EPA approvals are obtained, we will be unable to complete construction of the Project or commence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injections as planned, and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5" w:name="page36"/>
    <w:bookmarkEnd w:id="35"/>
    <w:p>
      <w:pPr>
        <w:ind w:right="700"/>
        <w:spacing w:after="0" w:line="282" w:lineRule="auto"/>
        <w:rPr>
          <w:sz w:val="20"/>
          <w:szCs w:val="20"/>
          <w:color w:val="auto"/>
        </w:rPr>
      </w:pPr>
      <w:r>
        <w:rPr>
          <w:rFonts w:ascii="Times New Roman" w:cs="Times New Roman" w:eastAsia="Times New Roman" w:hAnsi="Times New Roman"/>
          <w:sz w:val="18"/>
          <w:szCs w:val="18"/>
          <w:color w:val="auto"/>
        </w:rPr>
        <w:t>we may be unable to recover some or all of the capital we have invested or expect to invest in the Project. The total purchase price and remaining completion capital associated with the Project is currently estimated at approximately $95 million.</w:t>
      </w:r>
    </w:p>
    <w:p>
      <w:pPr>
        <w:spacing w:after="0" w:line="5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Even if the EPA ultimately approves the Class VI permit application, the approval process may take significantly longer than we currently anticipate. Although we drilled a stratigraphic injection well at the El Dorado site in June 2025 to gather data supporting the EPA’s technical review, our application remains subject to further review. The current published EPA Underground Injection Control Class VI Permit Tracker reflects a potential operational date in the second half of 2027, subject to EPA approval of our Class VI permit, at which time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injections are expected to begin. We intend to work with the EPA to potentially accelerate this timeline, but the timing of EPA approval is largely outside of our control and could be affected by, among other things, the EPA’s internal review procedures and resource constraints, requests for additional information, legal or administrative challenges to the permit or changes in applicable regulatory policy.</w:t>
      </w:r>
    </w:p>
    <w:p>
      <w:pPr>
        <w:spacing w:after="0" w:line="8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A failure to obtain necessary EPA approvals would prevent us from realizing the anticipated benefits of the Project, including our ability to produce low carbon ammonia and upgraded products, such as the sale of low carbon ammonium nitrate under our existing supply agreement with Freeport Minerals Corporation, and our eligibility for tax credits under Section 45Q of the Internal Revenue Code. In addition, a significant delay in receiving the Class VI permit approval could increase the costs of completing the Project, require us to incur additional capital expenditures and postpone the commencement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injections and our production of low carbon ammonium nitrate. Any such failure or delay could have a material adverse effect on our business,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results of operations and cash flows.</w:t>
      </w:r>
    </w:p>
    <w:p>
      <w:pPr>
        <w:spacing w:after="0" w:line="11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Even if the required EPA approvals are obtained, the Project remains subject to construction, commissioning, operational and third-party performance risks. Successful completion of the Project depends on the performance of the construction manager, construction contractors, equipment suppliers and other third parties involved in engineering, design, procurement, construction, installation, drilling, completion, testing and commissioning. Construction delays, cost overruns, contractor disputes, safety incidents, force majeure events, equipment failures, inability to satisfy completion tests, or failure to achieve commercial operation at expected volumes could delay or prevent the Project from becoming operational, increase our capital expenditures or reduce the Project’s expected benefits.</w:t>
      </w:r>
    </w:p>
    <w:p>
      <w:pPr>
        <w:spacing w:after="0" w:line="7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Furthermore, our ability to claim, monetize or retain Section 45Q tax credits depends on our ability to comply with applicable sequestration standards, monitoring and reporting requirements, prevailing wage and apprenticeship requirements, recordkeeping obligations and other guidance or regulations issued by the U.S. Department of the Treasury or the Internal Revenue Service. If we fail to satisfy applicable Section 45Q requirements, or if applicable law or guidance changes, we may be unable to claim tax credits at the anticipated amount or timing, or such credits could be reduced, delayed, disallowed or subject to recapture. If any of these regulatory, construction, operational or tax contingencies are not satisfied, or are satisfied later or on less favorable terms than we expect, we may be unable to complete, place in service or operate the Project as planned. In that event, we may experience delays in the commencement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injections, fail to realize some or all of the anticipated benefits of the Project, and be unable to recover some or all of the purchase price, completion capital and other costs associated with the Project. Any such developments could adversely affect our business, financial condition, results of operations and cash flows.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third quarter ended September 30, 2026, no director or officer (as defined in Exchange Act Rule 16a-1(f)) of the Company adopted or terminated a “Rule 10b5-1 trading arrangement” or “non-Rule 10b5-1 trading arrangement” for the purchase or sale of securities of the Company, within the meaning of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 on page 37.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Index to Exhibits Item 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538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0" w:type="dxa"/>
            <w:vAlign w:val="bottom"/>
          </w:tcPr>
          <w:p>
            <w:pPr>
              <w:spacing w:after="0"/>
              <w:rPr>
                <w:sz w:val="13"/>
                <w:szCs w:val="13"/>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3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the Following</w:t>
            </w: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1089" w:right="339" w:bottom="1440" w:gutter="0" w:footer="0" w:header="0"/>
        </w:sectPr>
      </w:pPr>
    </w:p>
    <w:tbl>
      <w:tblPr>
        <w:tblLayout w:type="fixed"/>
        <w:tblInd w:w="10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3(i).1</w:t>
            </w:r>
          </w:p>
        </w:tc>
        <w:tc>
          <w:tcPr>
            <w:tcW w:w="5360" w:type="dxa"/>
            <w:vAlign w:val="bottom"/>
            <w:gridSpan w:val="6"/>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Restated Certificate of Incorporation of LSB Industries, Inc., dated</w:t>
              </w:r>
            </w:hyperlink>
          </w:p>
        </w:tc>
      </w:tr>
      <w:tr>
        <w:trPr>
          <w:trHeight w:val="20"/>
        </w:trPr>
        <w:tc>
          <w:tcPr>
            <w:tcW w:w="1180" w:type="dxa"/>
            <w:vAlign w:val="bottom"/>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360" w:type="dxa"/>
            <w:vAlign w:val="bottom"/>
            <w:gridSpan w:val="6"/>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January 21, 1977, as amended August 27, 1987</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1180" w:type="dxa"/>
            <w:vAlign w:val="bottom"/>
          </w:tcPr>
          <w:p>
            <w:pPr>
              <w:spacing w:after="0"/>
              <w:rPr>
                <w:sz w:val="24"/>
                <w:szCs w:val="24"/>
                <w:color w:val="auto"/>
              </w:rPr>
            </w:pPr>
          </w:p>
        </w:tc>
        <w:tc>
          <w:tcPr>
            <w:tcW w:w="5360" w:type="dxa"/>
            <w:vAlign w:val="bottom"/>
            <w:gridSpan w:val="6"/>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Certificate of Amendment to the Restated Certificate of Incorporation of</w:t>
              </w:r>
            </w:hyperlink>
          </w:p>
        </w:tc>
      </w:tr>
      <w:tr>
        <w:trPr>
          <w:trHeight w:val="20"/>
        </w:trPr>
        <w:tc>
          <w:tcPr>
            <w:tcW w:w="1180" w:type="dxa"/>
            <w:vAlign w:val="bottom"/>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3(i).2</w:t>
            </w:r>
          </w:p>
        </w:tc>
        <w:tc>
          <w:tcPr>
            <w:tcW w:w="5360" w:type="dxa"/>
            <w:vAlign w:val="bottom"/>
            <w:gridSpan w:val="6"/>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LSB Industries, dated September 23,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74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3(ii).1</w:t>
            </w:r>
          </w:p>
        </w:tc>
        <w:tc>
          <w:tcPr>
            <w:tcW w:w="5360" w:type="dxa"/>
            <w:vAlign w:val="bottom"/>
            <w:gridSpan w:val="6"/>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Third Amended and Restated Bylaws of LSB Industries, Inc.</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Mark T. Behrman, Chief Executive Officer, pursuant to</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FF"/>
            </w:tcBorders>
            <w:gridSpan w:val="5"/>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3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 Section 302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Exhibit 3(i).1 to the Company’s Form 10-K filed on February 28, 2013</w:t>
      </w:r>
    </w:p>
    <w:p>
      <w:pPr>
        <w:spacing w:after="0" w:line="6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Exhibit 3(i).2 to the Company’s Registration Statement on Form S-3 filed on November 16, 2021</w:t>
      </w:r>
    </w:p>
    <w:p>
      <w:pPr>
        <w:spacing w:after="0" w:line="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Exhibit 3(ii).1(a) to the Company’s Form 10-Q filed on April 30, 2026</w:t>
      </w:r>
    </w:p>
    <w:p>
      <w:pPr>
        <w:spacing w:after="0" w:line="823" w:lineRule="exact"/>
        <w:rPr>
          <w:sz w:val="20"/>
          <w:szCs w:val="20"/>
          <w:color w:val="auto"/>
        </w:rPr>
      </w:pPr>
    </w:p>
    <w:p>
      <w:pPr>
        <w:sectPr>
          <w:pgSz w:w="11900" w:h="16838" w:orient="portrait"/>
          <w:cols w:equalWidth="0" w:num="2">
            <w:col w:w="6640" w:space="120"/>
            <w:col w:w="448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31.2(a)</w:t>
            </w: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Cheryl A. Maguire, Chief Financial Officer, pursuant to</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3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 Section 302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32.1(a)(b)</w:t>
            </w: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Mark T. Behrman, Chief Executive Officer, furnished</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3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pursuant to Sarbanes-Oxley Act of 2002, Section 906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32.2(a)(b)</w:t>
            </w: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Cheryl A. Maguire, Chief Financial Officer, furnished</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360" w:type="dxa"/>
            <w:vAlign w:val="bottom"/>
            <w:gridSpan w:val="3"/>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3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pursuant to Sarbanes-Oxley Act of 2002, Section 906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4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101.INS(a)</w:t>
            </w: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w:t>
            </w:r>
          </w:p>
        </w:tc>
      </w:tr>
      <w:tr>
        <w:trPr>
          <w:trHeight w:val="216"/>
        </w:trPr>
        <w:tc>
          <w:tcPr>
            <w:tcW w:w="128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Interactive Data File because its XBRL tags are embedded within</w:t>
            </w:r>
          </w:p>
        </w:tc>
      </w:tr>
      <w:tr>
        <w:trPr>
          <w:trHeight w:val="234"/>
        </w:trPr>
        <w:tc>
          <w:tcPr>
            <w:tcW w:w="128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3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101.SCH(a)</w:t>
            </w: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101.CAL(a)</w:t>
            </w: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101.DEF(a)</w:t>
            </w: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101.LAB(a)</w:t>
            </w: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3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101.PRE(a)</w:t>
            </w: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104(a)</w:t>
            </w: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r>
      <w:tr>
        <w:trPr>
          <w:trHeight w:val="234"/>
        </w:trPr>
        <w:tc>
          <w:tcPr>
            <w:tcW w:w="128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2"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 or furnished herewith.</w:t>
      </w:r>
    </w:p>
    <w:p>
      <w:pPr>
        <w:spacing w:after="0" w:line="26" w:lineRule="exact"/>
        <w:rPr>
          <w:rFonts w:ascii="Times New Roman" w:cs="Times New Roman" w:eastAsia="Times New Roman" w:hAnsi="Times New Roman"/>
          <w:sz w:val="16"/>
          <w:szCs w:val="16"/>
          <w:color w:val="auto"/>
        </w:rPr>
      </w:pPr>
    </w:p>
    <w:p>
      <w:pPr>
        <w:jc w:val="both"/>
        <w:ind w:left="380" w:hanging="372"/>
        <w:spacing w:after="0" w:line="276" w:lineRule="auto"/>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Exhibits 32.1 and 32.2 are not deemed “filed” with the SEC and are not to be incorporated by reference into any filing of LSB Industries, Inc. under the Securities Act of 1933, as amended, whether made before or after the date of this Quarterly Report on Form 10-Q, irrespective of any general incorporation language contained in such filing.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LSB INDUSTRIES, INC.</w:t>
            </w:r>
          </w:p>
        </w:tc>
      </w:tr>
      <w:tr>
        <w:trPr>
          <w:trHeight w:val="56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Cheryl A. Maguire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Cheryl A. Maguire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 Behrman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Cheryl A. Maguire, certify that:</w:t>
      </w:r>
    </w:p>
    <w:p>
      <w:pPr>
        <w:spacing w:after="0" w:line="117"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September 30, 2026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September 30, 2026 as filed with the Securities and Exchange Commission on the date hereof (the “Report”), I, Cheryl A. Maguire, Executive Vice President and Chief Financial Officer of LSB,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upperLetter"/>
      <w:start w:val="1"/>
    </w:lvl>
  </w:abstractNum>
  <w:abstractNum w:abstractNumId="5">
    <w:nsid w:val="7FDCC233"/>
    <w:multiLevelType w:val="hybridMultilevel"/>
    <w:lvl w:ilvl="0">
      <w:lvlJc w:val="left"/>
      <w:lvlText w:val="(%1)"/>
      <w:numFmt w:val="upperLetter"/>
      <w:start w:val="2"/>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57" Type="http://schemas.openxmlformats.org/officeDocument/2006/relationships/hyperlink" Target="https://www.sec.gov/Archives/edgar/data/60714/000119312513084410/d447083dex3i1.htm" TargetMode="External"/><Relationship Id="rId258" Type="http://schemas.openxmlformats.org/officeDocument/2006/relationships/hyperlink" Target="https://www.sec.gov/Archives/edgar/data/0000060714/000119312521331386/d173096dex3i2.htm" TargetMode="External"/><Relationship Id="rId259" Type="http://schemas.openxmlformats.org/officeDocument/2006/relationships/hyperlink" Target="https://www.sec.gov/Archives/edgar/data/60714/000119312526197288/lxu-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2026-10-29T15:52:42Z</dcterms:created>
  <dcterms:modified xsi:type="dcterms:W3CDTF">2026-10-29T15:52:42Z</dcterms:modified>
</cp:coreProperties>
</file>